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D957" w14:textId="369D3B22" w:rsidR="008810FB" w:rsidRDefault="003F7AF3">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R3-225914</w:t>
      </w:r>
    </w:p>
    <w:p w14:paraId="7F06ADE0" w14:textId="77777777" w:rsidR="008810FB" w:rsidRDefault="003F7AF3">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October 10</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18</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3E497152" w14:textId="77777777" w:rsidR="008810FB" w:rsidRDefault="008810FB">
      <w:pPr>
        <w:pStyle w:val="3GPPHeader"/>
        <w:spacing w:before="120" w:after="0"/>
        <w:rPr>
          <w:rFonts w:ascii="Times New Roman" w:hAnsi="Times New Roman" w:cs="Times New Roman"/>
          <w:lang w:val="en-GB"/>
        </w:rPr>
      </w:pPr>
    </w:p>
    <w:p w14:paraId="228D35E0" w14:textId="77777777" w:rsidR="008810FB" w:rsidRDefault="003F7AF3">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11.3</w:t>
      </w:r>
    </w:p>
    <w:p w14:paraId="1E58991C" w14:textId="77777777" w:rsidR="008810FB" w:rsidRDefault="003F7AF3">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7F68CA1" w14:textId="77777777" w:rsidR="008810FB" w:rsidRDefault="003F7AF3">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QoE2_NRDC- Summary of email discussion </w:t>
      </w:r>
    </w:p>
    <w:p w14:paraId="587DE4F0" w14:textId="77777777" w:rsidR="008810FB" w:rsidRDefault="003F7AF3">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0C4ACF7" w14:textId="77777777" w:rsidR="008810FB" w:rsidRDefault="003F7AF3">
      <w:pPr>
        <w:pStyle w:val="Heading1"/>
        <w:spacing w:before="120" w:after="0"/>
        <w:rPr>
          <w:rFonts w:ascii="Arial" w:hAnsi="Arial" w:cs="Arial"/>
          <w:lang w:val="en-GB"/>
        </w:rPr>
      </w:pPr>
      <w:r>
        <w:rPr>
          <w:rFonts w:ascii="Arial" w:hAnsi="Arial" w:cs="Arial"/>
          <w:lang w:val="en-GB"/>
        </w:rPr>
        <w:t>Introduction</w:t>
      </w:r>
    </w:p>
    <w:p w14:paraId="442C8182" w14:textId="77777777" w:rsidR="008810FB" w:rsidRDefault="003F7AF3">
      <w:pPr>
        <w:widowControl w:val="0"/>
        <w:spacing w:before="120" w:after="0"/>
        <w:rPr>
          <w:rFonts w:ascii="Times New Roman" w:hAnsi="Times New Roman" w:cs="Times New Roman"/>
          <w:color w:val="000000"/>
          <w:sz w:val="20"/>
          <w:szCs w:val="20"/>
          <w:lang w:val="en-GB"/>
        </w:rPr>
      </w:pPr>
      <w:bookmarkStart w:id="1" w:name="_Hlk72145532"/>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Wednesday, October 12</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06:00 UTC.</w:t>
      </w:r>
    </w:p>
    <w:bookmarkEnd w:id="1"/>
    <w:bookmarkEnd w:id="2"/>
    <w:p w14:paraId="7A7122C7" w14:textId="77777777" w:rsidR="008810FB" w:rsidRDefault="003F7AF3">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6150223A"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R3-225412 Support for QoE in NR-DC (Qualcomm Incorporated)</w:t>
      </w:r>
    </w:p>
    <w:p w14:paraId="5A3E07AD"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R3-225413 MDT-QoE alignment and QoE measurement continuity in mobility scenarios in NR-DC (Qualcomm Incorporated)</w:t>
      </w:r>
    </w:p>
    <w:p w14:paraId="18B95450"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R3-225431 NR QoE Discussion on support for NR-DC (Samsung)</w:t>
      </w:r>
    </w:p>
    <w:p w14:paraId="18E43A16"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R3-225480 QoE measurement in NR-DC (Lenovo)</w:t>
      </w:r>
    </w:p>
    <w:p w14:paraId="06951A3D"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R3-225481 (TP to TS 38.420) Support of QoE measurement in NR-DC (Lenovo)</w:t>
      </w:r>
    </w:p>
    <w:p w14:paraId="211C4B23"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R3-225558 The Support for QoE and RVQoE Measurement and Reporting in NR-DC Scenarios (Ericsson)</w:t>
      </w:r>
    </w:p>
    <w:p w14:paraId="557B414D"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R3-225590 Handling of QMC configuration for NR-DC (Nokia, Nokia Shanghai Bell)</w:t>
      </w:r>
    </w:p>
    <w:p w14:paraId="7484FAAA"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R3-225747 Discussion on QoE in NR-DC (Xiaomi)</w:t>
      </w:r>
    </w:p>
    <w:p w14:paraId="2C9147D7"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R3-225765 Discussion on Support for legacy QoE in NR-DC (CATT)</w:t>
      </w:r>
    </w:p>
    <w:p w14:paraId="5C7DD527"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R3-225766 Discussion on Support for RV-QoE in NR-DC (CATT)</w:t>
      </w:r>
    </w:p>
    <w:p w14:paraId="62670F09"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R3-225819 Discussion on QoE configuration and reporting in NR-DC (ZTE, China Telecom)</w:t>
      </w:r>
    </w:p>
    <w:p w14:paraId="26B8AC41"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R3-225820 Diccussion on RVQoE configuration and reporting in NR-DC (ZTE, China Telecom)</w:t>
      </w:r>
    </w:p>
    <w:p w14:paraId="15B5073E"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R3-225821 stage-2 TP to BL CR of 37.340 on QoE in NR-DC (ZTE, China Telecom)</w:t>
      </w:r>
    </w:p>
    <w:p w14:paraId="5CE38FE4"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R3-225837 Discussion on QoE measurement in NR-DC (China Unicom)</w:t>
      </w:r>
    </w:p>
    <w:p w14:paraId="21140AC7" w14:textId="77777777" w:rsidR="008810FB" w:rsidRDefault="003F7AF3">
      <w:pPr>
        <w:spacing w:before="120" w:after="0"/>
        <w:ind w:left="36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R3-225843 Further discussions on the support for QoE in NR-DC (Huawei)</w:t>
      </w:r>
    </w:p>
    <w:p w14:paraId="18EE2BD1" w14:textId="77777777" w:rsidR="008810FB" w:rsidRDefault="003F7AF3">
      <w:pPr>
        <w:pStyle w:val="Heading1"/>
        <w:spacing w:before="120" w:after="0"/>
        <w:rPr>
          <w:rFonts w:ascii="Arial" w:hAnsi="Arial" w:cs="Arial"/>
          <w:lang w:val="en-GB"/>
        </w:rPr>
      </w:pPr>
      <w:bookmarkStart w:id="3" w:name="_Hlk87391000"/>
      <w:r>
        <w:rPr>
          <w:rFonts w:ascii="Arial" w:hAnsi="Arial" w:cs="Arial"/>
          <w:lang w:val="en-GB"/>
        </w:rPr>
        <w:t>For the Chairman notes</w:t>
      </w:r>
    </w:p>
    <w:bookmarkEnd w:id="3"/>
    <w:p w14:paraId="1F033259" w14:textId="77777777" w:rsidR="00283B9A" w:rsidRDefault="00283B9A" w:rsidP="00F55DEB">
      <w:pPr>
        <w:spacing w:before="120" w:after="0"/>
        <w:rPr>
          <w:rFonts w:ascii="Times New Roman" w:hAnsi="Times New Roman" w:cs="Times New Roman"/>
          <w:b/>
          <w:bCs/>
          <w:color w:val="0070C0"/>
          <w:sz w:val="20"/>
          <w:szCs w:val="22"/>
          <w:u w:val="single"/>
        </w:rPr>
      </w:pPr>
      <w:r w:rsidRPr="00EB35D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1</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96245F">
        <w:rPr>
          <w:rFonts w:ascii="Times New Roman" w:hAnsi="Times New Roman" w:cs="Times New Roman"/>
          <w:b/>
          <w:bCs/>
          <w:color w:val="00B050"/>
          <w:sz w:val="20"/>
          <w:szCs w:val="22"/>
        </w:rPr>
        <w:t>If only MN or only SN receives an m-based QoE configuration, this node should notify the other node about it.</w:t>
      </w:r>
    </w:p>
    <w:p w14:paraId="1113449D" w14:textId="77777777" w:rsidR="002747B3" w:rsidRPr="00EB35D6" w:rsidRDefault="002747B3" w:rsidP="00F55DEB">
      <w:pPr>
        <w:spacing w:before="120" w:after="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2</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For RLF, the UE switches the reporting leg based on configuration received from the network.</w:t>
      </w:r>
    </w:p>
    <w:p w14:paraId="2B3BF555" w14:textId="77777777" w:rsidR="002747B3" w:rsidRPr="00EB35D6" w:rsidRDefault="002747B3" w:rsidP="00F55DEB">
      <w:pPr>
        <w:spacing w:before="120" w:after="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3</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WA: For leg-switching scenarios other than the RLF, the network sends the command to the UE via RRC to switch the reporting leg.</w:t>
      </w:r>
    </w:p>
    <w:p w14:paraId="363F7D7E" w14:textId="77777777" w:rsidR="002747B3" w:rsidRPr="00EB35D6" w:rsidRDefault="002747B3" w:rsidP="00F55DEB">
      <w:pPr>
        <w:spacing w:before="120" w:after="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Pr>
          <w:rFonts w:ascii="Times New Roman" w:hAnsi="Times New Roman" w:cs="Times New Roman"/>
          <w:b/>
          <w:bCs/>
          <w:color w:val="00B050"/>
          <w:sz w:val="20"/>
          <w:szCs w:val="22"/>
        </w:rPr>
        <w:t>4</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RAN3 should discuss which node can command the UE to switch the reporting leg.</w:t>
      </w:r>
    </w:p>
    <w:p w14:paraId="5374A5FD" w14:textId="77777777" w:rsidR="00C64122" w:rsidRDefault="00C64122" w:rsidP="00F55DEB">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5</w:t>
      </w:r>
      <w:r w:rsidRPr="00C73477">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Turn into an agreement the WA stating that, i</w:t>
      </w:r>
      <w:r w:rsidRPr="00AF4130">
        <w:rPr>
          <w:rFonts w:ascii="Times New Roman" w:hAnsi="Times New Roman" w:cs="Times New Roman"/>
          <w:b/>
          <w:bCs/>
          <w:color w:val="00B050"/>
          <w:sz w:val="20"/>
          <w:szCs w:val="22"/>
        </w:rPr>
        <w:t xml:space="preserve">f QoE reports are received by the SN, </w:t>
      </w:r>
      <w:r>
        <w:rPr>
          <w:rFonts w:ascii="Times New Roman" w:hAnsi="Times New Roman" w:cs="Times New Roman"/>
          <w:b/>
          <w:bCs/>
          <w:color w:val="00B050"/>
          <w:sz w:val="20"/>
          <w:szCs w:val="22"/>
        </w:rPr>
        <w:t xml:space="preserve">the </w:t>
      </w:r>
      <w:r w:rsidRPr="00AF4130">
        <w:rPr>
          <w:rFonts w:ascii="Times New Roman" w:hAnsi="Times New Roman" w:cs="Times New Roman"/>
          <w:b/>
          <w:bCs/>
          <w:color w:val="00B050"/>
          <w:sz w:val="20"/>
          <w:szCs w:val="22"/>
        </w:rPr>
        <w:t>SN can forward the QoE reports to MCE directly.</w:t>
      </w:r>
    </w:p>
    <w:p w14:paraId="3D10B426" w14:textId="77777777" w:rsidR="00C64122" w:rsidRDefault="00C64122"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Proposal 6: For the SN to forward the QoE reports directly to the MCE, t</w:t>
      </w:r>
      <w:r w:rsidRPr="0076224E">
        <w:rPr>
          <w:rFonts w:ascii="Times New Roman" w:hAnsi="Times New Roman" w:cs="Times New Roman"/>
          <w:b/>
          <w:bCs/>
          <w:color w:val="00B050"/>
          <w:sz w:val="20"/>
          <w:szCs w:val="22"/>
        </w:rPr>
        <w:t xml:space="preserve">he MN </w:t>
      </w:r>
      <w:r>
        <w:rPr>
          <w:rFonts w:ascii="Times New Roman" w:hAnsi="Times New Roman" w:cs="Times New Roman"/>
          <w:b/>
          <w:bCs/>
          <w:color w:val="00B050"/>
          <w:sz w:val="20"/>
          <w:szCs w:val="22"/>
        </w:rPr>
        <w:t>can</w:t>
      </w:r>
      <w:r w:rsidRPr="0076224E">
        <w:rPr>
          <w:rFonts w:ascii="Times New Roman" w:hAnsi="Times New Roman" w:cs="Times New Roman"/>
          <w:b/>
          <w:bCs/>
          <w:color w:val="00B050"/>
          <w:sz w:val="20"/>
          <w:szCs w:val="22"/>
        </w:rPr>
        <w:t xml:space="preserve"> indicate to the SN the QoE reference and</w:t>
      </w:r>
      <w:r>
        <w:rPr>
          <w:rFonts w:ascii="Times New Roman" w:hAnsi="Times New Roman" w:cs="Times New Roman"/>
          <w:b/>
          <w:bCs/>
          <w:color w:val="00B050"/>
          <w:sz w:val="20"/>
          <w:szCs w:val="22"/>
        </w:rPr>
        <w:t>/or</w:t>
      </w:r>
      <w:r w:rsidRPr="0076224E">
        <w:rPr>
          <w:rFonts w:ascii="Times New Roman" w:hAnsi="Times New Roman" w:cs="Times New Roman"/>
          <w:b/>
          <w:bCs/>
          <w:color w:val="00B050"/>
          <w:sz w:val="20"/>
          <w:szCs w:val="22"/>
        </w:rPr>
        <w:t xml:space="preserve"> the MCE IP address</w:t>
      </w:r>
      <w:r>
        <w:rPr>
          <w:rFonts w:ascii="Times New Roman" w:hAnsi="Times New Roman" w:cs="Times New Roman"/>
          <w:b/>
          <w:bCs/>
          <w:color w:val="00B050"/>
          <w:sz w:val="20"/>
          <w:szCs w:val="22"/>
        </w:rPr>
        <w:t xml:space="preserve"> (the latter in case the SN is not in area scope).</w:t>
      </w:r>
    </w:p>
    <w:p w14:paraId="44DBFC75" w14:textId="77777777" w:rsidR="00C64122" w:rsidRDefault="00C64122"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Proposal 7: For the case when the MN configured the UE with QoE measurements, and the SN forwards the QoE reports directly to the MCE, t</w:t>
      </w:r>
      <w:r w:rsidRPr="004B1646">
        <w:rPr>
          <w:rFonts w:ascii="Times New Roman" w:hAnsi="Times New Roman" w:cs="Times New Roman"/>
          <w:b/>
          <w:bCs/>
          <w:color w:val="00B050"/>
          <w:sz w:val="20"/>
          <w:szCs w:val="22"/>
        </w:rPr>
        <w:t xml:space="preserve">he SN </w:t>
      </w:r>
      <w:r>
        <w:rPr>
          <w:rFonts w:ascii="Times New Roman" w:hAnsi="Times New Roman" w:cs="Times New Roman"/>
          <w:b/>
          <w:bCs/>
          <w:color w:val="00B050"/>
          <w:sz w:val="20"/>
          <w:szCs w:val="22"/>
        </w:rPr>
        <w:t xml:space="preserve">should </w:t>
      </w:r>
      <w:r w:rsidRPr="004B1646">
        <w:rPr>
          <w:rFonts w:ascii="Times New Roman" w:hAnsi="Times New Roman" w:cs="Times New Roman"/>
          <w:b/>
          <w:bCs/>
          <w:color w:val="00B050"/>
          <w:sz w:val="20"/>
          <w:szCs w:val="22"/>
        </w:rPr>
        <w:t>indicate to the MN the session start and stop</w:t>
      </w:r>
      <w:r>
        <w:rPr>
          <w:rFonts w:ascii="Times New Roman" w:hAnsi="Times New Roman" w:cs="Times New Roman"/>
          <w:b/>
          <w:bCs/>
          <w:color w:val="00B050"/>
          <w:sz w:val="20"/>
          <w:szCs w:val="22"/>
        </w:rPr>
        <w:t>.</w:t>
      </w:r>
    </w:p>
    <w:p w14:paraId="7A9C96EA" w14:textId="77777777" w:rsidR="00641455" w:rsidRDefault="00641455" w:rsidP="00F55DEB">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8</w:t>
      </w:r>
      <w:r w:rsidRPr="00C73477">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(reformulated WA for agreement) Depending on the scenario, the </w:t>
      </w:r>
      <w:r w:rsidRPr="00F8047F">
        <w:rPr>
          <w:rFonts w:ascii="Times New Roman" w:hAnsi="Times New Roman" w:cs="Times New Roman"/>
          <w:b/>
          <w:bCs/>
          <w:color w:val="00B050"/>
          <w:sz w:val="20"/>
          <w:szCs w:val="22"/>
        </w:rPr>
        <w:t xml:space="preserve">MN and </w:t>
      </w:r>
      <w:r>
        <w:rPr>
          <w:rFonts w:ascii="Times New Roman" w:hAnsi="Times New Roman" w:cs="Times New Roman"/>
          <w:b/>
          <w:bCs/>
          <w:color w:val="00B050"/>
          <w:sz w:val="20"/>
          <w:szCs w:val="22"/>
        </w:rPr>
        <w:t xml:space="preserve">the </w:t>
      </w:r>
      <w:r w:rsidRPr="00F8047F">
        <w:rPr>
          <w:rFonts w:ascii="Times New Roman" w:hAnsi="Times New Roman" w:cs="Times New Roman"/>
          <w:b/>
          <w:bCs/>
          <w:color w:val="00B050"/>
          <w:sz w:val="20"/>
          <w:szCs w:val="22"/>
        </w:rPr>
        <w:t>SN can generate RVQoE configurations</w:t>
      </w:r>
      <w:r>
        <w:rPr>
          <w:rFonts w:ascii="Times New Roman" w:hAnsi="Times New Roman" w:cs="Times New Roman"/>
          <w:b/>
          <w:bCs/>
          <w:color w:val="00B050"/>
          <w:sz w:val="20"/>
          <w:szCs w:val="22"/>
        </w:rPr>
        <w:t>.</w:t>
      </w:r>
    </w:p>
    <w:p w14:paraId="64568FF5" w14:textId="77777777" w:rsidR="00641455" w:rsidRDefault="00641455"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9: </w:t>
      </w:r>
      <w:r w:rsidRPr="00A57381">
        <w:rPr>
          <w:rFonts w:ascii="Times New Roman" w:hAnsi="Times New Roman" w:cs="Times New Roman"/>
          <w:b/>
          <w:bCs/>
          <w:color w:val="00B050"/>
          <w:sz w:val="20"/>
          <w:szCs w:val="22"/>
        </w:rPr>
        <w:t>The node that received the QoE configuration from the AMF/OAM sends to the other node the list of available RVQoE metrics</w:t>
      </w:r>
      <w:r>
        <w:rPr>
          <w:rFonts w:ascii="Times New Roman" w:hAnsi="Times New Roman" w:cs="Times New Roman"/>
          <w:b/>
          <w:bCs/>
          <w:color w:val="00B050"/>
          <w:sz w:val="20"/>
          <w:szCs w:val="22"/>
        </w:rPr>
        <w:t>.</w:t>
      </w:r>
    </w:p>
    <w:p w14:paraId="67DD9B12" w14:textId="77777777" w:rsidR="00641455" w:rsidRDefault="00641455"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Proposal 10: With respect to configuring the UE with RVQoE measurements, discuss how to address the fact that it is unknown in advance which of the two nodes carries the application session.</w:t>
      </w:r>
    </w:p>
    <w:p w14:paraId="3B92DF0D" w14:textId="77777777" w:rsidR="00641455" w:rsidRDefault="00641455"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11: RVQoE configuration content can be negotiated between the MN and the SN. </w:t>
      </w:r>
    </w:p>
    <w:p w14:paraId="0C83C394" w14:textId="77777777" w:rsidR="00641455" w:rsidRDefault="00641455"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12: </w:t>
      </w:r>
      <w:r w:rsidRPr="008F7DE4">
        <w:rPr>
          <w:rFonts w:ascii="Times New Roman" w:hAnsi="Times New Roman" w:cs="Times New Roman"/>
          <w:b/>
          <w:bCs/>
          <w:color w:val="00B050"/>
          <w:sz w:val="20"/>
          <w:szCs w:val="22"/>
        </w:rPr>
        <w:t>If only the SN is “interested” in RVQoE measurements from the UE (and the MN is not), the SN generates the RVQoE configuration</w:t>
      </w:r>
    </w:p>
    <w:p w14:paraId="50492D59" w14:textId="77777777" w:rsidR="00F55DEB" w:rsidRDefault="00F55DEB" w:rsidP="00F55DEB">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13</w:t>
      </w:r>
      <w:r w:rsidRPr="00C73477">
        <w:rPr>
          <w:rFonts w:ascii="Times New Roman" w:hAnsi="Times New Roman" w:cs="Times New Roman"/>
          <w:b/>
          <w:bCs/>
          <w:color w:val="00B050"/>
          <w:sz w:val="20"/>
          <w:szCs w:val="22"/>
        </w:rPr>
        <w:t xml:space="preserve">: </w:t>
      </w:r>
      <w:r>
        <w:rPr>
          <w:rFonts w:ascii="Times New Roman" w:hAnsi="Times New Roman" w:cs="Times New Roman"/>
          <w:b/>
          <w:bCs/>
          <w:color w:val="00B050"/>
          <w:sz w:val="20"/>
          <w:szCs w:val="22"/>
        </w:rPr>
        <w:t>Turn the following WA into an agreement: “</w:t>
      </w:r>
      <w:r w:rsidRPr="00C73477">
        <w:rPr>
          <w:rFonts w:ascii="Times New Roman" w:hAnsi="Times New Roman" w:cs="Times New Roman"/>
          <w:b/>
          <w:bCs/>
          <w:color w:val="00B050"/>
          <w:sz w:val="20"/>
          <w:szCs w:val="22"/>
        </w:rPr>
        <w:t xml:space="preserve">UE can send RVQoE report to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then forward the RVQoE report to </w:t>
      </w:r>
      <w:r>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SN if needed, and vice versa</w:t>
      </w:r>
      <w:r>
        <w:rPr>
          <w:rFonts w:ascii="Times New Roman" w:hAnsi="Times New Roman" w:cs="Times New Roman"/>
          <w:b/>
          <w:bCs/>
          <w:color w:val="00B050"/>
          <w:sz w:val="20"/>
          <w:szCs w:val="22"/>
        </w:rPr>
        <w:t>”</w:t>
      </w:r>
      <w:r w:rsidRPr="00C73477">
        <w:rPr>
          <w:rFonts w:ascii="Times New Roman" w:hAnsi="Times New Roman" w:cs="Times New Roman"/>
          <w:b/>
          <w:bCs/>
          <w:color w:val="00B050"/>
          <w:sz w:val="20"/>
          <w:szCs w:val="22"/>
        </w:rPr>
        <w:t>.</w:t>
      </w:r>
    </w:p>
    <w:p w14:paraId="225D899F" w14:textId="77777777" w:rsidR="00F55DEB" w:rsidRDefault="00F55DEB" w:rsidP="00F55DE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14: </w:t>
      </w:r>
      <w:r w:rsidRPr="008E3293">
        <w:rPr>
          <w:rFonts w:ascii="Times New Roman" w:hAnsi="Times New Roman" w:cs="Times New Roman"/>
          <w:b/>
          <w:bCs/>
          <w:color w:val="00B050"/>
          <w:sz w:val="20"/>
          <w:szCs w:val="22"/>
        </w:rPr>
        <w:t xml:space="preserve">Both </w:t>
      </w:r>
      <w:r>
        <w:rPr>
          <w:rFonts w:ascii="Times New Roman" w:hAnsi="Times New Roman" w:cs="Times New Roman"/>
          <w:b/>
          <w:bCs/>
          <w:color w:val="00B050"/>
          <w:sz w:val="20"/>
          <w:szCs w:val="22"/>
        </w:rPr>
        <w:t xml:space="preserve">the </w:t>
      </w:r>
      <w:r w:rsidRPr="008E3293">
        <w:rPr>
          <w:rFonts w:ascii="Times New Roman" w:hAnsi="Times New Roman" w:cs="Times New Roman"/>
          <w:b/>
          <w:bCs/>
          <w:color w:val="00B050"/>
          <w:sz w:val="20"/>
          <w:szCs w:val="22"/>
        </w:rPr>
        <w:t xml:space="preserve">MN and </w:t>
      </w:r>
      <w:r>
        <w:rPr>
          <w:rFonts w:ascii="Times New Roman" w:hAnsi="Times New Roman" w:cs="Times New Roman"/>
          <w:b/>
          <w:bCs/>
          <w:color w:val="00B050"/>
          <w:sz w:val="20"/>
          <w:szCs w:val="22"/>
        </w:rPr>
        <w:t xml:space="preserve">the </w:t>
      </w:r>
      <w:r w:rsidRPr="008E3293">
        <w:rPr>
          <w:rFonts w:ascii="Times New Roman" w:hAnsi="Times New Roman" w:cs="Times New Roman"/>
          <w:b/>
          <w:bCs/>
          <w:color w:val="00B050"/>
          <w:sz w:val="20"/>
          <w:szCs w:val="22"/>
        </w:rPr>
        <w:t xml:space="preserve">SN can receive RVQoE reports directly from the </w:t>
      </w:r>
      <w:r>
        <w:rPr>
          <w:rFonts w:ascii="Times New Roman" w:hAnsi="Times New Roman" w:cs="Times New Roman"/>
          <w:b/>
          <w:bCs/>
          <w:color w:val="00B050"/>
          <w:sz w:val="20"/>
          <w:szCs w:val="22"/>
        </w:rPr>
        <w:t>UE.</w:t>
      </w:r>
    </w:p>
    <w:p w14:paraId="273839E0" w14:textId="4E9F62A8" w:rsidR="00A12722" w:rsidRPr="007E1C8B" w:rsidRDefault="00A12722" w:rsidP="00A12722">
      <w:pPr>
        <w:spacing w:after="160"/>
        <w:rPr>
          <w:rFonts w:ascii="Times New Roman" w:eastAsiaTheme="minorEastAsia" w:hAnsi="Times New Roman" w:cs="Times New Roman"/>
          <w:b/>
          <w:bCs/>
          <w:color w:val="00B050"/>
          <w:sz w:val="20"/>
          <w:szCs w:val="20"/>
          <w:lang w:val="de-DE" w:eastAsia="de-DE"/>
        </w:rPr>
      </w:pPr>
      <w:r w:rsidRPr="007E1C8B">
        <w:rPr>
          <w:rFonts w:ascii="Times New Roman" w:eastAsiaTheme="minorEastAsia" w:hAnsi="Times New Roman" w:cs="Times New Roman"/>
          <w:b/>
          <w:bCs/>
          <w:color w:val="00B050"/>
          <w:sz w:val="20"/>
          <w:szCs w:val="20"/>
          <w:lang w:val="de-DE" w:eastAsia="de-DE"/>
        </w:rPr>
        <w:t xml:space="preserve">Proposal </w:t>
      </w:r>
      <w:r>
        <w:rPr>
          <w:rFonts w:ascii="Times New Roman" w:eastAsiaTheme="minorEastAsia" w:hAnsi="Times New Roman" w:cs="Times New Roman"/>
          <w:b/>
          <w:bCs/>
          <w:color w:val="00B050"/>
          <w:sz w:val="20"/>
          <w:szCs w:val="20"/>
          <w:lang w:val="de-DE" w:eastAsia="de-DE"/>
        </w:rPr>
        <w:t>15</w:t>
      </w:r>
      <w:r w:rsidRPr="007E1C8B">
        <w:rPr>
          <w:rFonts w:ascii="Times New Roman" w:eastAsiaTheme="minorEastAsia" w:hAnsi="Times New Roman" w:cs="Times New Roman"/>
          <w:b/>
          <w:bCs/>
          <w:color w:val="00B050"/>
          <w:sz w:val="20"/>
          <w:szCs w:val="20"/>
          <w:lang w:val="de-DE" w:eastAsia="de-DE"/>
        </w:rPr>
        <w:t xml:space="preserve">: </w:t>
      </w:r>
      <w:r>
        <w:rPr>
          <w:rFonts w:ascii="Times New Roman" w:eastAsiaTheme="minorEastAsia" w:hAnsi="Times New Roman" w:cs="Times New Roman"/>
          <w:b/>
          <w:bCs/>
          <w:color w:val="00B050"/>
          <w:sz w:val="20"/>
          <w:szCs w:val="20"/>
          <w:lang w:val="de-DE" w:eastAsia="de-DE"/>
        </w:rPr>
        <w:t>D</w:t>
      </w:r>
      <w:r w:rsidR="00705F64" w:rsidRPr="007E1C8B">
        <w:rPr>
          <w:rFonts w:ascii="Times New Roman" w:hAnsi="Times New Roman" w:cs="Times New Roman"/>
          <w:b/>
          <w:bCs/>
          <w:color w:val="00B050"/>
          <w:sz w:val="20"/>
          <w:szCs w:val="22"/>
          <w:lang w:val="en-GB"/>
        </w:rPr>
        <w:t>iscuss</w:t>
      </w:r>
      <w:r w:rsidRPr="007E1C8B">
        <w:rPr>
          <w:rFonts w:ascii="Times New Roman" w:hAnsi="Times New Roman" w:cs="Times New Roman"/>
          <w:b/>
          <w:bCs/>
          <w:color w:val="00B050"/>
          <w:sz w:val="20"/>
          <w:szCs w:val="22"/>
          <w:lang w:val="en-GB"/>
        </w:rPr>
        <w:t xml:space="preserve"> how the MN/SN can learn which of them carries the data for an application session subject to RVQoE measurements</w:t>
      </w:r>
      <w:r>
        <w:rPr>
          <w:rFonts w:ascii="Times New Roman" w:hAnsi="Times New Roman" w:cs="Times New Roman"/>
          <w:b/>
          <w:bCs/>
          <w:color w:val="00B050"/>
          <w:sz w:val="20"/>
          <w:szCs w:val="22"/>
          <w:lang w:val="en-GB"/>
        </w:rPr>
        <w:t>.</w:t>
      </w:r>
    </w:p>
    <w:p w14:paraId="79756DE1" w14:textId="77777777" w:rsidR="00F55DEB" w:rsidRDefault="00F55DEB" w:rsidP="00F55DEB">
      <w:pPr>
        <w:spacing w:before="120" w:after="0"/>
        <w:rPr>
          <w:rFonts w:ascii="Times New Roman" w:hAnsi="Times New Roman" w:cs="Times New Roman"/>
          <w:b/>
          <w:bCs/>
          <w:color w:val="0070C0"/>
          <w:sz w:val="20"/>
          <w:szCs w:val="22"/>
        </w:rPr>
      </w:pPr>
      <w:r w:rsidRPr="00443088">
        <w:rPr>
          <w:rFonts w:ascii="Times New Roman" w:hAnsi="Times New Roman" w:cs="Times New Roman"/>
          <w:b/>
          <w:bCs/>
          <w:color w:val="0070C0"/>
          <w:sz w:val="20"/>
          <w:szCs w:val="22"/>
        </w:rPr>
        <w:t xml:space="preserve">If the node carrying data for a service is different from the node receiving the corresponding RVQoE reports from the UE, </w:t>
      </w:r>
      <w:r>
        <w:rPr>
          <w:rFonts w:ascii="Times New Roman" w:hAnsi="Times New Roman" w:cs="Times New Roman"/>
          <w:b/>
          <w:bCs/>
          <w:color w:val="0070C0"/>
          <w:sz w:val="20"/>
          <w:szCs w:val="22"/>
        </w:rPr>
        <w:t xml:space="preserve">whether </w:t>
      </w:r>
      <w:r w:rsidRPr="00443088">
        <w:rPr>
          <w:rFonts w:ascii="Times New Roman" w:hAnsi="Times New Roman" w:cs="Times New Roman"/>
          <w:b/>
          <w:bCs/>
          <w:color w:val="0070C0"/>
          <w:sz w:val="20"/>
          <w:szCs w:val="22"/>
        </w:rPr>
        <w:t xml:space="preserve">the reporting leg for RVQoE can be changed so that the node carrying the session receives the RVQoE reports directly from the </w:t>
      </w:r>
      <w:r>
        <w:rPr>
          <w:rFonts w:ascii="Times New Roman" w:hAnsi="Times New Roman" w:cs="Times New Roman"/>
          <w:b/>
          <w:bCs/>
          <w:color w:val="0070C0"/>
          <w:sz w:val="20"/>
          <w:szCs w:val="22"/>
        </w:rPr>
        <w:t>UE.</w:t>
      </w:r>
    </w:p>
    <w:p w14:paraId="7E7610CB" w14:textId="77777777" w:rsidR="00F304CD" w:rsidRDefault="00F304CD" w:rsidP="00F55DEB">
      <w:pPr>
        <w:spacing w:before="120" w:after="0"/>
        <w:rPr>
          <w:rFonts w:ascii="Times New Roman" w:hAnsi="Times New Roman" w:cs="Times New Roman"/>
          <w:b/>
          <w:bCs/>
          <w:color w:val="0070C0"/>
          <w:sz w:val="20"/>
          <w:szCs w:val="22"/>
        </w:rPr>
      </w:pPr>
      <w:r w:rsidRPr="001E5608">
        <w:rPr>
          <w:rFonts w:ascii="Times New Roman" w:hAnsi="Times New Roman" w:cs="Times New Roman"/>
          <w:b/>
          <w:bCs/>
          <w:color w:val="0070C0"/>
          <w:sz w:val="20"/>
          <w:szCs w:val="22"/>
        </w:rPr>
        <w:t xml:space="preserve">Discuss whether, if an m-based QoE configuration is received only by the SN (e.g., if </w:t>
      </w:r>
      <w:r>
        <w:rPr>
          <w:rFonts w:ascii="Times New Roman" w:hAnsi="Times New Roman" w:cs="Times New Roman"/>
          <w:b/>
          <w:bCs/>
          <w:color w:val="0070C0"/>
          <w:sz w:val="20"/>
          <w:szCs w:val="22"/>
        </w:rPr>
        <w:t xml:space="preserve">the </w:t>
      </w:r>
      <w:r w:rsidRPr="001E5608">
        <w:rPr>
          <w:rFonts w:ascii="Times New Roman" w:hAnsi="Times New Roman" w:cs="Times New Roman"/>
          <w:b/>
          <w:bCs/>
          <w:color w:val="0070C0"/>
          <w:sz w:val="20"/>
          <w:szCs w:val="22"/>
        </w:rPr>
        <w:t>MN does not support QoE measurements), the SN performs UE selection and sends the QoE configuration to the UE.</w:t>
      </w:r>
    </w:p>
    <w:p w14:paraId="2216B984" w14:textId="77777777" w:rsidR="001F6CC9" w:rsidRPr="00661E63" w:rsidRDefault="001F6CC9" w:rsidP="00F55DEB">
      <w:pPr>
        <w:spacing w:before="120" w:after="0"/>
        <w:rPr>
          <w:rFonts w:ascii="Times New Roman" w:hAnsi="Times New Roman" w:cs="Times New Roman"/>
          <w:b/>
          <w:bCs/>
          <w:color w:val="0070C0"/>
          <w:sz w:val="20"/>
          <w:szCs w:val="22"/>
        </w:rPr>
      </w:pPr>
      <w:r w:rsidRPr="00661E63">
        <w:rPr>
          <w:rFonts w:ascii="Times New Roman" w:hAnsi="Times New Roman" w:cs="Times New Roman"/>
          <w:b/>
          <w:bCs/>
          <w:color w:val="0070C0"/>
          <w:sz w:val="20"/>
          <w:szCs w:val="22"/>
        </w:rPr>
        <w:t xml:space="preserve">Whether, if both MN and SN receive an m-based QoE configuration, </w:t>
      </w:r>
      <w:r>
        <w:rPr>
          <w:rFonts w:ascii="Times New Roman" w:hAnsi="Times New Roman" w:cs="Times New Roman"/>
          <w:b/>
          <w:bCs/>
          <w:color w:val="0070C0"/>
          <w:sz w:val="20"/>
          <w:szCs w:val="22"/>
        </w:rPr>
        <w:t xml:space="preserve">based on the outcome of MN-SN coordination, the </w:t>
      </w:r>
      <w:r w:rsidRPr="00661E63">
        <w:rPr>
          <w:rFonts w:ascii="Times New Roman" w:hAnsi="Times New Roman" w:cs="Times New Roman"/>
          <w:b/>
          <w:bCs/>
          <w:color w:val="0070C0"/>
          <w:sz w:val="20"/>
          <w:szCs w:val="22"/>
        </w:rPr>
        <w:t xml:space="preserve">SN </w:t>
      </w:r>
      <w:r>
        <w:rPr>
          <w:rFonts w:ascii="Times New Roman" w:hAnsi="Times New Roman" w:cs="Times New Roman"/>
          <w:b/>
          <w:bCs/>
          <w:color w:val="0070C0"/>
          <w:sz w:val="20"/>
          <w:szCs w:val="22"/>
        </w:rPr>
        <w:t xml:space="preserve">can </w:t>
      </w:r>
      <w:r w:rsidRPr="00661E63">
        <w:rPr>
          <w:rFonts w:ascii="Times New Roman" w:hAnsi="Times New Roman" w:cs="Times New Roman"/>
          <w:b/>
          <w:bCs/>
          <w:color w:val="0070C0"/>
          <w:sz w:val="20"/>
          <w:szCs w:val="22"/>
        </w:rPr>
        <w:t>select the UEs, and configure them with measurements</w:t>
      </w:r>
      <w:r>
        <w:rPr>
          <w:rFonts w:ascii="Times New Roman" w:hAnsi="Times New Roman" w:cs="Times New Roman"/>
          <w:b/>
          <w:bCs/>
          <w:color w:val="0070C0"/>
          <w:sz w:val="20"/>
          <w:szCs w:val="22"/>
        </w:rPr>
        <w:t>.</w:t>
      </w:r>
    </w:p>
    <w:p w14:paraId="66BE0019" w14:textId="77777777" w:rsidR="001F6CC9" w:rsidRPr="001E5608" w:rsidRDefault="001F6CC9" w:rsidP="00F304CD">
      <w:pPr>
        <w:spacing w:before="120" w:after="0"/>
        <w:ind w:left="-90"/>
        <w:rPr>
          <w:rFonts w:ascii="Times New Roman" w:hAnsi="Times New Roman" w:cs="Times New Roman"/>
          <w:b/>
          <w:bCs/>
          <w:color w:val="0070C0"/>
          <w:sz w:val="20"/>
          <w:szCs w:val="22"/>
          <w:u w:val="single"/>
        </w:rPr>
      </w:pPr>
    </w:p>
    <w:p w14:paraId="04038DA6" w14:textId="77777777" w:rsidR="008810FB" w:rsidRDefault="003F7AF3">
      <w:pPr>
        <w:pStyle w:val="Heading1"/>
        <w:spacing w:before="120" w:after="0"/>
        <w:rPr>
          <w:rFonts w:ascii="Arial" w:hAnsi="Arial" w:cs="Arial"/>
          <w:lang w:val="en-GB"/>
        </w:rPr>
      </w:pPr>
      <w:r>
        <w:rPr>
          <w:rFonts w:ascii="Arial" w:hAnsi="Arial" w:cs="Arial"/>
          <w:lang w:val="en-GB"/>
        </w:rPr>
        <w:t>Round 1</w:t>
      </w:r>
    </w:p>
    <w:p w14:paraId="175DD566" w14:textId="77777777" w:rsidR="008810FB" w:rsidRDefault="003F7AF3">
      <w:pPr>
        <w:rPr>
          <w:rFonts w:ascii="Times New Roman" w:hAnsi="Times New Roman" w:cs="Times New Roman"/>
          <w:sz w:val="20"/>
          <w:szCs w:val="22"/>
          <w:lang w:val="en-GB"/>
        </w:rPr>
      </w:pPr>
      <w:r>
        <w:rPr>
          <w:rFonts w:ascii="Times New Roman" w:hAnsi="Times New Roman" w:cs="Times New Roman"/>
          <w:sz w:val="20"/>
          <w:szCs w:val="22"/>
          <w:lang w:val="en-GB"/>
        </w:rPr>
        <w:t>At this meeting we will discuss the baseline solution for QoE and RVQoE measurement and reporting in NR-DC. The proposals related to mobility support and alignment with radio related measurements should not be treated before the basic solution is agreed.</w:t>
      </w:r>
    </w:p>
    <w:p w14:paraId="05D07776" w14:textId="77777777" w:rsidR="008810FB" w:rsidRDefault="003F7AF3">
      <w:pPr>
        <w:pStyle w:val="Heading2"/>
        <w:spacing w:before="120" w:after="0"/>
        <w:rPr>
          <w:rFonts w:ascii="Arial" w:hAnsi="Arial" w:cs="Arial"/>
          <w:lang w:val="en-GB"/>
        </w:rPr>
      </w:pPr>
      <w:r>
        <w:rPr>
          <w:rFonts w:ascii="Arial" w:hAnsi="Arial" w:cs="Arial"/>
          <w:lang w:val="en-GB"/>
        </w:rPr>
        <w:t xml:space="preserve">QoE configuration and reporting in NR-DC </w:t>
      </w:r>
    </w:p>
    <w:p w14:paraId="29838F55" w14:textId="77777777" w:rsidR="008810FB" w:rsidRDefault="003F7AF3">
      <w:pPr>
        <w:pStyle w:val="Heading3"/>
        <w:spacing w:after="0"/>
        <w:rPr>
          <w:rFonts w:ascii="Arial" w:hAnsi="Arial" w:cs="Arial"/>
        </w:rPr>
      </w:pPr>
      <w:r>
        <w:rPr>
          <w:rFonts w:ascii="Arial" w:hAnsi="Arial" w:cs="Arial"/>
        </w:rPr>
        <w:t>MN-SN coordination procedure</w:t>
      </w:r>
    </w:p>
    <w:p w14:paraId="371E82D3"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Q1-1: Which of the following </w:t>
      </w:r>
      <w:r>
        <w:rPr>
          <w:rFonts w:ascii="Times New Roman" w:hAnsi="Times New Roman" w:cs="Times New Roman"/>
          <w:b/>
          <w:bCs/>
          <w:sz w:val="20"/>
          <w:szCs w:val="20"/>
        </w:rPr>
        <w:t>should be supported by the MN-SN coordination procedure:</w:t>
      </w:r>
    </w:p>
    <w:p w14:paraId="288DB56A"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Initiation by either the MN or the SN.</w:t>
      </w:r>
    </w:p>
    <w:p w14:paraId="5F757866"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Coordination for deciding which node should configure the UE.</w:t>
      </w:r>
    </w:p>
    <w:p w14:paraId="3898D98A"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 xml:space="preserve">Coordination of </w:t>
      </w:r>
      <w:r>
        <w:rPr>
          <w:rFonts w:ascii="Times New Roman" w:hAnsi="Times New Roman" w:cs="Times New Roman"/>
          <w:b/>
          <w:bCs/>
          <w:i/>
          <w:iCs/>
        </w:rPr>
        <w:t>measConfigApplayerId.</w:t>
      </w:r>
    </w:p>
    <w:p w14:paraId="5ADE5FF8"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the UEs that were configured with QoE/RVQoE measurements.</w:t>
      </w:r>
    </w:p>
    <w:p w14:paraId="201488F5"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QoE reference and MCE IP address for forwarding the QoE reports directly to MCE.</w:t>
      </w:r>
    </w:p>
    <w:p w14:paraId="4ED6ED01"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Coordination for establishing the SRB for receiving QoE/RVQoE reports.</w:t>
      </w:r>
    </w:p>
    <w:p w14:paraId="264F1C93"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Switching the QoE/RVQoE reporting leg.</w:t>
      </w:r>
    </w:p>
    <w:p w14:paraId="44080BBE" w14:textId="77777777" w:rsidR="008810FB" w:rsidRDefault="003F7AF3">
      <w:pPr>
        <w:pStyle w:val="ListParagraph"/>
        <w:numPr>
          <w:ilvl w:val="0"/>
          <w:numId w:val="5"/>
        </w:numPr>
        <w:spacing w:line="240" w:lineRule="auto"/>
        <w:jc w:val="left"/>
        <w:rPr>
          <w:rFonts w:ascii="Times New Roman" w:hAnsi="Times New Roman" w:cs="Times New Roman"/>
          <w:b/>
          <w:bCs/>
        </w:rPr>
      </w:pPr>
      <w:r>
        <w:rPr>
          <w:rFonts w:ascii="Times New Roman" w:hAnsi="Times New Roman" w:cs="Times New Roman"/>
          <w:b/>
          <w:bCs/>
        </w:rPr>
        <w:t>Indication of session start/stop.</w:t>
      </w:r>
    </w:p>
    <w:p w14:paraId="03B757C9" w14:textId="77777777" w:rsidR="008810FB" w:rsidRDefault="003F7AF3">
      <w:pPr>
        <w:spacing w:line="240" w:lineRule="auto"/>
        <w:rPr>
          <w:rFonts w:ascii="Times New Roman" w:hAnsi="Times New Roman" w:cs="Times New Roman"/>
          <w:sz w:val="20"/>
          <w:szCs w:val="22"/>
        </w:rPr>
      </w:pPr>
      <w:r>
        <w:rPr>
          <w:rFonts w:ascii="Times New Roman" w:hAnsi="Times New Roman" w:cs="Times New Roman"/>
          <w:sz w:val="20"/>
          <w:szCs w:val="22"/>
        </w:rPr>
        <w:t>Please write your company name in the appropriate column. A separate table for leaving detailed comments is provided below as well.</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3896"/>
        <w:gridCol w:w="3969"/>
      </w:tblGrid>
      <w:tr w:rsidR="008810FB" w14:paraId="58B08546" w14:textId="77777777">
        <w:trPr>
          <w:trHeight w:val="325"/>
        </w:trPr>
        <w:tc>
          <w:tcPr>
            <w:tcW w:w="1378" w:type="dxa"/>
          </w:tcPr>
          <w:p w14:paraId="2BAF72BE"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Functionality</w:t>
            </w:r>
          </w:p>
        </w:tc>
        <w:tc>
          <w:tcPr>
            <w:tcW w:w="3896" w:type="dxa"/>
          </w:tcPr>
          <w:p w14:paraId="04D1A9C2"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Companies in favour</w:t>
            </w:r>
          </w:p>
        </w:tc>
        <w:tc>
          <w:tcPr>
            <w:tcW w:w="3969" w:type="dxa"/>
          </w:tcPr>
          <w:p w14:paraId="7A6A3CE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Companies against</w:t>
            </w:r>
          </w:p>
        </w:tc>
      </w:tr>
      <w:tr w:rsidR="008810FB" w14:paraId="0D684297" w14:textId="77777777">
        <w:trPr>
          <w:trHeight w:val="357"/>
        </w:trPr>
        <w:tc>
          <w:tcPr>
            <w:tcW w:w="1378" w:type="dxa"/>
          </w:tcPr>
          <w:p w14:paraId="06F5B05D"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w:t>
            </w:r>
          </w:p>
        </w:tc>
        <w:tc>
          <w:tcPr>
            <w:tcW w:w="3896" w:type="dxa"/>
          </w:tcPr>
          <w:p w14:paraId="1A7BA2C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1420483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358042D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 (on SN initiated)</w:t>
            </w:r>
          </w:p>
          <w:p w14:paraId="14914DE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2565A2C8"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w:t>
            </w:r>
          </w:p>
          <w:p w14:paraId="472297AA" w14:textId="77777777" w:rsidR="008810FB" w:rsidRDefault="003F7AF3">
            <w:pPr>
              <w:spacing w:before="120" w:after="0"/>
              <w:rPr>
                <w:rFonts w:ascii="Times New Roman" w:hAnsi="Times New Roman" w:cs="Times New Roman"/>
                <w:sz w:val="20"/>
                <w:szCs w:val="20"/>
                <w:lang w:val="en-GB" w:eastAsia="zh-CN"/>
              </w:rPr>
            </w:pPr>
            <w:r>
              <w:rPr>
                <w:rFonts w:ascii="Times New Roman" w:eastAsia="SimSun" w:hAnsi="Times New Roman" w:cs="Times New Roman" w:hint="eastAsia"/>
                <w:sz w:val="20"/>
                <w:szCs w:val="20"/>
                <w:lang w:eastAsia="zh-CN"/>
              </w:rPr>
              <w:t>China Unicom</w:t>
            </w:r>
          </w:p>
        </w:tc>
        <w:tc>
          <w:tcPr>
            <w:tcW w:w="3969" w:type="dxa"/>
          </w:tcPr>
          <w:p w14:paraId="152139C4" w14:textId="77777777" w:rsidR="008810FB" w:rsidRDefault="003F7AF3">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Xiaomi, question is not clear</w:t>
            </w:r>
          </w:p>
          <w:p w14:paraId="36B1C1FC" w14:textId="77777777" w:rsidR="008810FB" w:rsidRDefault="003F7AF3">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QC (on MN initiated)</w:t>
            </w:r>
          </w:p>
          <w:p w14:paraId="5C6BB9B6" w14:textId="77777777" w:rsidR="008810FB" w:rsidRDefault="003F7AF3">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Nokia (question not clear)</w:t>
            </w:r>
          </w:p>
          <w:p w14:paraId="2BC05ACD" w14:textId="77777777" w:rsidR="009D471B" w:rsidRDefault="009D471B">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Samsung (question unclear)</w:t>
            </w:r>
          </w:p>
        </w:tc>
      </w:tr>
      <w:tr w:rsidR="008810FB" w14:paraId="55FA0147" w14:textId="77777777">
        <w:trPr>
          <w:trHeight w:val="342"/>
        </w:trPr>
        <w:tc>
          <w:tcPr>
            <w:tcW w:w="1378" w:type="dxa"/>
          </w:tcPr>
          <w:p w14:paraId="73CF65B5" w14:textId="77777777" w:rsidR="008810FB" w:rsidRDefault="003F7AF3">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b)</w:t>
            </w:r>
          </w:p>
        </w:tc>
        <w:tc>
          <w:tcPr>
            <w:tcW w:w="3896" w:type="dxa"/>
          </w:tcPr>
          <w:p w14:paraId="767DBC3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50A9DCA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1F82AA58"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 (see comments)</w:t>
            </w:r>
          </w:p>
          <w:p w14:paraId="72CDA3DE" w14:textId="77777777" w:rsidR="009D471B" w:rsidRDefault="009D471B">
            <w:pPr>
              <w:spacing w:before="120" w:after="0"/>
              <w:rPr>
                <w:rFonts w:ascii="Times New Roman" w:eastAsiaTheme="minorEastAsia" w:hAnsi="Times New Roman" w:cs="Times New Roman"/>
                <w:sz w:val="20"/>
                <w:szCs w:val="20"/>
                <w:lang w:eastAsia="zh-CN"/>
              </w:rPr>
            </w:pPr>
            <w:r>
              <w:rPr>
                <w:rFonts w:ascii="Times New Roman" w:hAnsi="Times New Roman" w:cs="Times New Roman"/>
                <w:sz w:val="20"/>
                <w:szCs w:val="20"/>
                <w:lang w:val="en-GB"/>
              </w:rPr>
              <w:t>Samsung: MN makes the final decision</w:t>
            </w:r>
          </w:p>
        </w:tc>
        <w:tc>
          <w:tcPr>
            <w:tcW w:w="3969" w:type="dxa"/>
          </w:tcPr>
          <w:p w14:paraId="56147AC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 MN is responsible for configuring UE.</w:t>
            </w:r>
          </w:p>
          <w:p w14:paraId="6AB7EDC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2D28D27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 MN can make the final decision</w:t>
            </w:r>
          </w:p>
          <w:p w14:paraId="121DFDEA"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 this bullet is not clear. Does it mean to let MN notify to SN about the decision? Or it is for the case that SN receives m-based configuration? Maybe we should discuss case by case.</w:t>
            </w:r>
          </w:p>
          <w:p w14:paraId="23A2AAB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eastAsia="zh-CN"/>
              </w:rPr>
              <w:t xml:space="preserve">Nokia: agree with Xiaomi, MN </w:t>
            </w:r>
            <w:r>
              <w:rPr>
                <w:rFonts w:ascii="Times New Roman" w:eastAsiaTheme="minorEastAsia" w:hAnsi="Times New Roman" w:cs="Times New Roman"/>
                <w:sz w:val="20"/>
                <w:szCs w:val="20"/>
                <w:lang w:val="en-GB" w:eastAsia="zh-CN"/>
              </w:rPr>
              <w:t>is responsible for configuring UE.</w:t>
            </w:r>
          </w:p>
          <w:p w14:paraId="327BE48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 agree the MN should configure the UE, even if the QoE configuration is only received by SN, it need to be coordinated with MN, and it is better for MN to send the QoE configuration.</w:t>
            </w:r>
          </w:p>
        </w:tc>
      </w:tr>
      <w:tr w:rsidR="008810FB" w14:paraId="08A34E72" w14:textId="77777777">
        <w:trPr>
          <w:trHeight w:val="325"/>
        </w:trPr>
        <w:tc>
          <w:tcPr>
            <w:tcW w:w="1378" w:type="dxa"/>
          </w:tcPr>
          <w:p w14:paraId="730FE784" w14:textId="77777777" w:rsidR="008810FB" w:rsidRDefault="003F7AF3">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c)</w:t>
            </w:r>
          </w:p>
        </w:tc>
        <w:tc>
          <w:tcPr>
            <w:tcW w:w="3896" w:type="dxa"/>
          </w:tcPr>
          <w:p w14:paraId="4431B44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Ericsson</w:t>
            </w:r>
          </w:p>
          <w:p w14:paraId="41DDF56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7B1CB36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171A8235"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3969" w:type="dxa"/>
          </w:tcPr>
          <w:p w14:paraId="6F01E95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 MN is responsible for assigning the measConfigApplayerId</w:t>
            </w:r>
          </w:p>
          <w:p w14:paraId="3762AB3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5F50392C"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Huawei (see comments)</w:t>
            </w:r>
          </w:p>
          <w:p w14:paraId="23AE2A0C"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 xml:space="preserve">Nokia: </w:t>
            </w:r>
            <w:r>
              <w:rPr>
                <w:rFonts w:ascii="Times New Roman" w:eastAsiaTheme="minorEastAsia" w:hAnsi="Times New Roman" w:cs="Times New Roman"/>
                <w:sz w:val="20"/>
                <w:szCs w:val="20"/>
                <w:lang w:val="en-GB" w:eastAsia="zh-CN"/>
              </w:rPr>
              <w:t>MN is responsible for assigning the measConfigApplayerId</w:t>
            </w:r>
          </w:p>
          <w:p w14:paraId="6B8FD8C3"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 xml:space="preserve">China Unicom, agree the MN should assign the </w:t>
            </w:r>
            <w:r>
              <w:rPr>
                <w:rFonts w:ascii="Times New Roman" w:eastAsiaTheme="minorEastAsia" w:hAnsi="Times New Roman" w:cs="Times New Roman"/>
                <w:sz w:val="20"/>
                <w:szCs w:val="20"/>
                <w:lang w:val="en-GB" w:eastAsia="zh-CN"/>
              </w:rPr>
              <w:t>measConfigApplayerId</w:t>
            </w:r>
            <w:r>
              <w:rPr>
                <w:rFonts w:ascii="Times New Roman" w:eastAsiaTheme="minorEastAsia" w:hAnsi="Times New Roman" w:cs="Times New Roman" w:hint="eastAsia"/>
                <w:sz w:val="20"/>
                <w:szCs w:val="20"/>
                <w:lang w:eastAsia="zh-CN"/>
              </w:rPr>
              <w:t>.</w:t>
            </w:r>
          </w:p>
          <w:p w14:paraId="087B98D8" w14:textId="77777777" w:rsidR="009D471B" w:rsidRDefault="009D471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after deciding the node for config, that node can generate measConfigApplayerId itself</w:t>
            </w:r>
          </w:p>
        </w:tc>
      </w:tr>
      <w:tr w:rsidR="008810FB" w14:paraId="4795DE63" w14:textId="77777777">
        <w:trPr>
          <w:trHeight w:val="342"/>
        </w:trPr>
        <w:tc>
          <w:tcPr>
            <w:tcW w:w="1378" w:type="dxa"/>
          </w:tcPr>
          <w:p w14:paraId="7C0512D3" w14:textId="77777777" w:rsidR="008810FB" w:rsidRDefault="003F7AF3">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d)</w:t>
            </w:r>
          </w:p>
        </w:tc>
        <w:tc>
          <w:tcPr>
            <w:tcW w:w="3896" w:type="dxa"/>
          </w:tcPr>
          <w:p w14:paraId="69B01752"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237B899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rPr>
              <w:t>Xiaomi, partially yes, only MN indicate what’s configured in UE</w:t>
            </w:r>
          </w:p>
          <w:p w14:paraId="5559654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618F3A5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China Unicom</w:t>
            </w:r>
          </w:p>
        </w:tc>
        <w:tc>
          <w:tcPr>
            <w:tcW w:w="3969" w:type="dxa"/>
          </w:tcPr>
          <w:p w14:paraId="4EBD3A5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4C744B03"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 SN can send QoE measurement request info to MN. MN responds SN whether QoE measurement is allowed.</w:t>
            </w:r>
          </w:p>
          <w:p w14:paraId="246E946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(see comments)</w:t>
            </w:r>
          </w:p>
          <w:p w14:paraId="413FCC85" w14:textId="77777777" w:rsidR="009D471B" w:rsidRDefault="009D471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agree with HW’s comments</w:t>
            </w:r>
          </w:p>
        </w:tc>
      </w:tr>
      <w:tr w:rsidR="008810FB" w14:paraId="7A21BDC2" w14:textId="77777777">
        <w:trPr>
          <w:trHeight w:val="325"/>
        </w:trPr>
        <w:tc>
          <w:tcPr>
            <w:tcW w:w="1378" w:type="dxa"/>
          </w:tcPr>
          <w:p w14:paraId="5B814E29" w14:textId="77777777" w:rsidR="008810FB" w:rsidRDefault="003F7AF3">
            <w:pPr>
              <w:spacing w:before="120" w:after="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e)</w:t>
            </w:r>
          </w:p>
        </w:tc>
        <w:tc>
          <w:tcPr>
            <w:tcW w:w="3896" w:type="dxa"/>
          </w:tcPr>
          <w:p w14:paraId="0AA05EB4"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 but excluding the MCE IP if both nodes are in area scope.</w:t>
            </w:r>
          </w:p>
          <w:p w14:paraId="455DD0C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p w14:paraId="3B1EE3F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p w14:paraId="2B1B6E3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5661044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62ED399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(see comments)</w:t>
            </w:r>
          </w:p>
          <w:p w14:paraId="41C7E32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p w14:paraId="2C61FB9A" w14:textId="77777777" w:rsidR="009D471B" w:rsidRDefault="003F7AF3" w:rsidP="009D471B">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China Unicom</w:t>
            </w:r>
            <w:r w:rsidR="009D471B">
              <w:rPr>
                <w:rFonts w:ascii="Times New Roman" w:eastAsiaTheme="minorEastAsia" w:hAnsi="Times New Roman" w:cs="Times New Roman"/>
                <w:sz w:val="20"/>
                <w:szCs w:val="20"/>
                <w:lang w:val="en-GB" w:eastAsia="zh-CN"/>
              </w:rPr>
              <w:t xml:space="preserve"> </w:t>
            </w:r>
          </w:p>
          <w:p w14:paraId="45FE11C5" w14:textId="77777777" w:rsidR="008810FB" w:rsidRDefault="009D471B" w:rsidP="009D471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w:t>
            </w:r>
          </w:p>
        </w:tc>
        <w:tc>
          <w:tcPr>
            <w:tcW w:w="3969" w:type="dxa"/>
          </w:tcPr>
          <w:p w14:paraId="3EFC8FB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 There may be potential issue that the MN and the SN are in different IP domain towards OAM e.g., MN and SN are not connecting same OAM system. We think that the benefit and feasibility that SN forwards the QoE reports to MCE directly needs to be further clarified.</w:t>
            </w:r>
          </w:p>
        </w:tc>
      </w:tr>
      <w:tr w:rsidR="008810FB" w14:paraId="000A8379" w14:textId="77777777">
        <w:trPr>
          <w:trHeight w:val="342"/>
        </w:trPr>
        <w:tc>
          <w:tcPr>
            <w:tcW w:w="1378" w:type="dxa"/>
          </w:tcPr>
          <w:p w14:paraId="7B79C5B7" w14:textId="77777777" w:rsidR="008810FB" w:rsidRDefault="003F7AF3">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f)</w:t>
            </w:r>
          </w:p>
        </w:tc>
        <w:tc>
          <w:tcPr>
            <w:tcW w:w="3896" w:type="dxa"/>
          </w:tcPr>
          <w:p w14:paraId="09A302A2"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4DA8ABC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p w14:paraId="5AD31AE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QC</w:t>
            </w:r>
          </w:p>
          <w:p w14:paraId="6FBCFF4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p w14:paraId="409AAA2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p w14:paraId="087D6B5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China Unicom</w:t>
            </w:r>
          </w:p>
        </w:tc>
        <w:tc>
          <w:tcPr>
            <w:tcW w:w="3969" w:type="dxa"/>
          </w:tcPr>
          <w:p w14:paraId="4E8C8B2D" w14:textId="77777777" w:rsidR="009D471B" w:rsidRDefault="003F7AF3" w:rsidP="009D471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 This should be decided by RAN2 when which entity to configure is decided, no?</w:t>
            </w:r>
            <w:r w:rsidR="009D471B">
              <w:rPr>
                <w:rFonts w:ascii="Times New Roman" w:eastAsiaTheme="minorEastAsia" w:hAnsi="Times New Roman" w:cs="Times New Roman"/>
                <w:sz w:val="20"/>
                <w:szCs w:val="20"/>
                <w:lang w:val="en-GB" w:eastAsia="zh-CN"/>
              </w:rPr>
              <w:t xml:space="preserve"> </w:t>
            </w:r>
          </w:p>
          <w:p w14:paraId="00C426A0" w14:textId="77777777" w:rsidR="008810FB" w:rsidRDefault="009D471B" w:rsidP="009D471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Samsung: to be discussed in RAN2 first</w:t>
            </w:r>
          </w:p>
        </w:tc>
      </w:tr>
      <w:tr w:rsidR="008810FB" w14:paraId="4B34BD39" w14:textId="77777777">
        <w:trPr>
          <w:trHeight w:val="342"/>
        </w:trPr>
        <w:tc>
          <w:tcPr>
            <w:tcW w:w="1378" w:type="dxa"/>
          </w:tcPr>
          <w:p w14:paraId="2E62670A" w14:textId="77777777" w:rsidR="008810FB" w:rsidRDefault="003F7AF3">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g)</w:t>
            </w:r>
          </w:p>
        </w:tc>
        <w:tc>
          <w:tcPr>
            <w:tcW w:w="3896" w:type="dxa"/>
          </w:tcPr>
          <w:p w14:paraId="1017C4CF"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7AE6023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 MN is responsible for configuring and switching the QoE/RVQoE reporting leg.</w:t>
            </w:r>
          </w:p>
          <w:p w14:paraId="64EFE556"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p w14:paraId="623E054F"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w:t>
            </w:r>
          </w:p>
          <w:p w14:paraId="005E853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4529367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p w14:paraId="591B68D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China Unicom</w:t>
            </w:r>
          </w:p>
        </w:tc>
        <w:tc>
          <w:tcPr>
            <w:tcW w:w="3969" w:type="dxa"/>
          </w:tcPr>
          <w:p w14:paraId="0B92FB9F"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QC</w:t>
            </w:r>
          </w:p>
          <w:p w14:paraId="20CBB69D" w14:textId="77777777" w:rsidR="009D471B" w:rsidRDefault="003F7AF3" w:rsidP="009D471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 See comments</w:t>
            </w:r>
            <w:r w:rsidR="009D471B">
              <w:rPr>
                <w:rFonts w:ascii="Times New Roman" w:eastAsiaTheme="minorEastAsia" w:hAnsi="Times New Roman" w:cs="Times New Roman"/>
                <w:sz w:val="20"/>
                <w:szCs w:val="20"/>
                <w:lang w:eastAsia="zh-CN"/>
              </w:rPr>
              <w:t xml:space="preserve"> </w:t>
            </w:r>
          </w:p>
          <w:p w14:paraId="42297330" w14:textId="77777777" w:rsidR="008810FB" w:rsidRDefault="009D471B" w:rsidP="009D471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 Open to further discuss. No need for decision for now.</w:t>
            </w:r>
          </w:p>
        </w:tc>
      </w:tr>
      <w:tr w:rsidR="008810FB" w14:paraId="6514018F" w14:textId="77777777">
        <w:trPr>
          <w:trHeight w:val="342"/>
        </w:trPr>
        <w:tc>
          <w:tcPr>
            <w:tcW w:w="1378" w:type="dxa"/>
          </w:tcPr>
          <w:p w14:paraId="414C03CE" w14:textId="77777777" w:rsidR="008810FB" w:rsidRDefault="003F7AF3">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b/>
                <w:bCs/>
                <w:sz w:val="20"/>
                <w:szCs w:val="20"/>
                <w:lang w:eastAsia="zh-CN"/>
              </w:rPr>
              <w:t>h)</w:t>
            </w:r>
          </w:p>
        </w:tc>
        <w:tc>
          <w:tcPr>
            <w:tcW w:w="3896" w:type="dxa"/>
          </w:tcPr>
          <w:p w14:paraId="1C3AD659"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Ericsson</w:t>
            </w:r>
          </w:p>
          <w:p w14:paraId="183DC603"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Xiaomi: suggest reword to “coordination for the indication of session start/stop”</w:t>
            </w:r>
          </w:p>
          <w:p w14:paraId="14E224FA"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p w14:paraId="42B1540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QC</w:t>
            </w:r>
          </w:p>
          <w:p w14:paraId="27F155C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p w14:paraId="707486D6"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p w14:paraId="4165ADE3"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SimSun" w:hAnsi="Times New Roman" w:cs="Times New Roman" w:hint="eastAsia"/>
                <w:sz w:val="20"/>
                <w:szCs w:val="20"/>
                <w:lang w:eastAsia="zh-CN"/>
              </w:rPr>
              <w:t>China Unicom</w:t>
            </w:r>
          </w:p>
        </w:tc>
        <w:tc>
          <w:tcPr>
            <w:tcW w:w="3969" w:type="dxa"/>
          </w:tcPr>
          <w:p w14:paraId="74CCB7E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L</w:t>
            </w:r>
            <w:r>
              <w:rPr>
                <w:rFonts w:ascii="Times New Roman" w:eastAsiaTheme="minorEastAsia" w:hAnsi="Times New Roman" w:cs="Times New Roman"/>
                <w:sz w:val="20"/>
                <w:szCs w:val="20"/>
                <w:lang w:eastAsia="zh-CN"/>
              </w:rPr>
              <w:t>enovo: it depends on the solutions for MDT alignment.</w:t>
            </w:r>
          </w:p>
          <w:p w14:paraId="6CB7FBF9" w14:textId="77777777" w:rsidR="009D471B" w:rsidRDefault="003F7AF3" w:rsidP="009D471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w:t>
            </w:r>
            <w:r>
              <w:rPr>
                <w:rFonts w:ascii="Times New Roman" w:eastAsiaTheme="minorEastAsia" w:hAnsi="Times New Roman" w:cs="Times New Roman"/>
                <w:sz w:val="20"/>
                <w:szCs w:val="20"/>
                <w:lang w:eastAsia="zh-CN"/>
              </w:rPr>
              <w:t>uawei, UE should just send the indication to the entity from which the configuration was received, not sure why coordination is needed.</w:t>
            </w:r>
            <w:r w:rsidR="009D471B">
              <w:rPr>
                <w:rFonts w:ascii="Times New Roman" w:eastAsiaTheme="minorEastAsia" w:hAnsi="Times New Roman" w:cs="Times New Roman"/>
                <w:sz w:val="20"/>
                <w:szCs w:val="20"/>
                <w:lang w:eastAsia="zh-CN"/>
              </w:rPr>
              <w:t xml:space="preserve"> </w:t>
            </w:r>
          </w:p>
          <w:p w14:paraId="694A5E64" w14:textId="77777777" w:rsidR="008810FB" w:rsidRDefault="009D471B" w:rsidP="009D471B">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Samsung: Open to further discuss. No need for decision for now.</w:t>
            </w:r>
          </w:p>
        </w:tc>
      </w:tr>
    </w:tbl>
    <w:p w14:paraId="4B8CC5FB" w14:textId="77777777" w:rsidR="008810FB" w:rsidRDefault="003F7AF3">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If you have any detailed comments, please provide them below.</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298"/>
      </w:tblGrid>
      <w:tr w:rsidR="008810FB" w14:paraId="30370D5F" w14:textId="77777777">
        <w:trPr>
          <w:trHeight w:val="325"/>
        </w:trPr>
        <w:tc>
          <w:tcPr>
            <w:tcW w:w="1378" w:type="dxa"/>
          </w:tcPr>
          <w:p w14:paraId="729411C3"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298" w:type="dxa"/>
          </w:tcPr>
          <w:p w14:paraId="357A4F0A"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 regarding any of a)- h)</w:t>
            </w:r>
          </w:p>
        </w:tc>
      </w:tr>
      <w:tr w:rsidR="008810FB" w14:paraId="644DC465" w14:textId="77777777">
        <w:trPr>
          <w:trHeight w:val="357"/>
        </w:trPr>
        <w:tc>
          <w:tcPr>
            <w:tcW w:w="1378" w:type="dxa"/>
          </w:tcPr>
          <w:p w14:paraId="4B08CE14"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298" w:type="dxa"/>
          </w:tcPr>
          <w:p w14:paraId="2BD6A391"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Regarding e), if both MN and SN are in the scope, they both have the MCE IP for m-QoE, so there is no need to indicate it via XnAP. If one of them is in the area scope, then indicating the MCE IP should be considered, e.g., for the sake of reporting in overload.</w:t>
            </w:r>
          </w:p>
        </w:tc>
      </w:tr>
      <w:tr w:rsidR="008810FB" w14:paraId="21514F69" w14:textId="77777777">
        <w:trPr>
          <w:trHeight w:val="342"/>
        </w:trPr>
        <w:tc>
          <w:tcPr>
            <w:tcW w:w="1378" w:type="dxa"/>
          </w:tcPr>
          <w:p w14:paraId="167444E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7298" w:type="dxa"/>
          </w:tcPr>
          <w:p w14:paraId="05847FE8" w14:textId="77777777" w:rsidR="008810FB" w:rsidRDefault="003F7AF3">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a) is not clear for us, which kind of initiation does this mean?</w:t>
            </w:r>
          </w:p>
          <w:p w14:paraId="472B91E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we support MN is responsible for configuring UE, which has less complexity, no need to coordinate.</w:t>
            </w:r>
          </w:p>
          <w:p w14:paraId="6D89A56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we support MN is responsible for assigning the measConfigApplayerId if MN decides to configure UE, no need to coordinate</w:t>
            </w:r>
          </w:p>
          <w:p w14:paraId="549B7A1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w:t>
            </w:r>
            <w:r>
              <w:rPr>
                <w:rFonts w:ascii="Times New Roman" w:hAnsi="Times New Roman" w:cs="Times New Roman"/>
                <w:sz w:val="20"/>
                <w:szCs w:val="20"/>
                <w:lang w:val="en-GB"/>
              </w:rPr>
              <w:t xml:space="preserve"> if MN is responsible for the configuration, MN can indicate the configuration result to SN.</w:t>
            </w:r>
          </w:p>
          <w:p w14:paraId="6BA7D98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w:t>
            </w:r>
            <w:r>
              <w:rPr>
                <w:rFonts w:ascii="Times New Roman" w:eastAsiaTheme="minorEastAsia" w:hAnsi="Times New Roman" w:cs="Times New Roman"/>
                <w:sz w:val="20"/>
                <w:szCs w:val="20"/>
                <w:lang w:eastAsia="zh-CN"/>
              </w:rPr>
              <w:t xml:space="preserve"> we support “coordination for the indication of session start/stop”, as in our understanding the session start/stop can also be sent directly to MN or SN</w:t>
            </w:r>
          </w:p>
        </w:tc>
      </w:tr>
      <w:tr w:rsidR="008810FB" w14:paraId="6239B38B" w14:textId="77777777">
        <w:trPr>
          <w:trHeight w:val="325"/>
        </w:trPr>
        <w:tc>
          <w:tcPr>
            <w:tcW w:w="1378" w:type="dxa"/>
          </w:tcPr>
          <w:p w14:paraId="476045B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298" w:type="dxa"/>
          </w:tcPr>
          <w:p w14:paraId="535E42E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some information, the </w:t>
            </w:r>
            <w:r>
              <w:rPr>
                <w:rFonts w:ascii="Times New Roman" w:eastAsiaTheme="minorEastAsia" w:hAnsi="Times New Roman" w:cs="Times New Roman"/>
                <w:sz w:val="20"/>
                <w:szCs w:val="20"/>
                <w:lang w:val="en-GB" w:eastAsia="zh-CN"/>
              </w:rPr>
              <w:t>coordination not</w:t>
            </w:r>
            <w:r>
              <w:rPr>
                <w:rFonts w:ascii="Times New Roman" w:eastAsiaTheme="minorEastAsia" w:hAnsi="Times New Roman" w:cs="Times New Roman" w:hint="eastAsia"/>
                <w:sz w:val="20"/>
                <w:szCs w:val="20"/>
                <w:lang w:val="en-GB" w:eastAsia="zh-CN"/>
              </w:rPr>
              <w:t xml:space="preserve"> always needed. </w:t>
            </w:r>
            <w:r>
              <w:rPr>
                <w:rFonts w:ascii="Times New Roman" w:eastAsiaTheme="minorEastAsia" w:hAnsi="Times New Roman" w:cs="Times New Roman"/>
                <w:sz w:val="20"/>
                <w:szCs w:val="20"/>
                <w:lang w:val="en-GB" w:eastAsia="zh-CN"/>
              </w:rPr>
              <w:t>T</w:t>
            </w:r>
            <w:r>
              <w:rPr>
                <w:rFonts w:ascii="Times New Roman" w:eastAsiaTheme="minorEastAsia" w:hAnsi="Times New Roman" w:cs="Times New Roman" w:hint="eastAsia"/>
                <w:sz w:val="20"/>
                <w:szCs w:val="20"/>
                <w:lang w:val="en-GB" w:eastAsia="zh-CN"/>
              </w:rPr>
              <w:t xml:space="preserve">he detail should be </w:t>
            </w:r>
            <w:r>
              <w:rPr>
                <w:rFonts w:ascii="Times New Roman" w:eastAsiaTheme="minorEastAsia" w:hAnsi="Times New Roman" w:cs="Times New Roman"/>
                <w:sz w:val="20"/>
                <w:szCs w:val="20"/>
                <w:lang w:val="en-GB" w:eastAsia="zh-CN"/>
              </w:rPr>
              <w:t>analysed</w:t>
            </w:r>
            <w:r>
              <w:rPr>
                <w:rFonts w:ascii="Times New Roman" w:eastAsiaTheme="minorEastAsia" w:hAnsi="Times New Roman" w:cs="Times New Roman" w:hint="eastAsia"/>
                <w:sz w:val="20"/>
                <w:szCs w:val="20"/>
                <w:lang w:val="en-GB" w:eastAsia="zh-CN"/>
              </w:rPr>
              <w:t xml:space="preserve"> case by case.   </w:t>
            </w:r>
          </w:p>
        </w:tc>
      </w:tr>
      <w:tr w:rsidR="008810FB" w14:paraId="42D1CBCE" w14:textId="77777777">
        <w:trPr>
          <w:trHeight w:val="342"/>
        </w:trPr>
        <w:tc>
          <w:tcPr>
            <w:tcW w:w="1378" w:type="dxa"/>
          </w:tcPr>
          <w:p w14:paraId="5AA9BF9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7298" w:type="dxa"/>
          </w:tcPr>
          <w:p w14:paraId="3D28443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Xiaomi on b) and c)</w:t>
            </w:r>
          </w:p>
          <w:p w14:paraId="4CCD166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Unclear what d) means.</w:t>
            </w:r>
          </w:p>
          <w:p w14:paraId="72E1E20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 on g) – detailed comments in relevant question below.</w:t>
            </w:r>
          </w:p>
          <w:p w14:paraId="5EAA357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Also </w:t>
            </w:r>
            <w:r>
              <w:rPr>
                <w:rFonts w:ascii="Times New Roman" w:eastAsiaTheme="minorEastAsia" w:hAnsi="Times New Roman" w:cs="Times New Roman"/>
                <w:b/>
                <w:bCs/>
                <w:sz w:val="20"/>
                <w:szCs w:val="20"/>
                <w:lang w:val="en-GB" w:eastAsia="zh-CN"/>
              </w:rPr>
              <w:t>not clear on E///’s comment on e)</w:t>
            </w:r>
            <w:r>
              <w:rPr>
                <w:rFonts w:ascii="Times New Roman" w:eastAsiaTheme="minorEastAsia" w:hAnsi="Times New Roman" w:cs="Times New Roman"/>
                <w:sz w:val="20"/>
                <w:szCs w:val="20"/>
                <w:lang w:val="en-GB" w:eastAsia="zh-CN"/>
              </w:rPr>
              <w:t xml:space="preserve"> – why does SN know the MCE IP address if MN and SN are both in area scope? (Do you mean to say if the same m-based QoE is received on both MN and SN?)</w:t>
            </w:r>
          </w:p>
        </w:tc>
      </w:tr>
      <w:tr w:rsidR="008810FB" w14:paraId="226359D1" w14:textId="77777777">
        <w:trPr>
          <w:trHeight w:val="325"/>
        </w:trPr>
        <w:tc>
          <w:tcPr>
            <w:tcW w:w="1378" w:type="dxa"/>
          </w:tcPr>
          <w:p w14:paraId="058472CF"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7298" w:type="dxa"/>
          </w:tcPr>
          <w:p w14:paraId="453521E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details procedure needs to be discussed case by case e.g. for S-based, M-based MN initiated, M based SN initiated, the procedures may be different. </w:t>
            </w:r>
          </w:p>
        </w:tc>
      </w:tr>
      <w:tr w:rsidR="008810FB" w14:paraId="1F9B7E1A" w14:textId="77777777">
        <w:trPr>
          <w:trHeight w:val="342"/>
        </w:trPr>
        <w:tc>
          <w:tcPr>
            <w:tcW w:w="1378" w:type="dxa"/>
          </w:tcPr>
          <w:p w14:paraId="58795CCC"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7298" w:type="dxa"/>
          </w:tcPr>
          <w:p w14:paraId="42E9EEF4"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Actually, as we mentioned in our discussion paper, there might be </w:t>
            </w:r>
            <w:r>
              <w:rPr>
                <w:rFonts w:ascii="Times New Roman" w:eastAsiaTheme="minorEastAsia" w:hAnsi="Times New Roman" w:cs="Times New Roman" w:hint="eastAsia"/>
                <w:b/>
                <w:bCs/>
                <w:sz w:val="20"/>
                <w:szCs w:val="20"/>
                <w:lang w:eastAsia="zh-CN"/>
              </w:rPr>
              <w:t>more than one</w:t>
            </w:r>
            <w:r>
              <w:rPr>
                <w:rFonts w:ascii="Times New Roman" w:eastAsiaTheme="minorEastAsia" w:hAnsi="Times New Roman" w:cs="Times New Roman" w:hint="eastAsia"/>
                <w:sz w:val="20"/>
                <w:szCs w:val="20"/>
                <w:lang w:eastAsia="zh-CN"/>
              </w:rPr>
              <w:t xml:space="preserve"> procedures needed between MN and SN for the purpose of coordination. Not sure whether this question is trying to list the capabilities of all potential procedures or just for a single one? This is a question which should be clarified before we further talk about the details of the procedure(s).</w:t>
            </w:r>
          </w:p>
          <w:p w14:paraId="2380CF4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 Agree with QC that the specific information exchanged during coordination should be discussed case by case. </w:t>
            </w:r>
          </w:p>
        </w:tc>
      </w:tr>
      <w:tr w:rsidR="008810FB" w14:paraId="36644364" w14:textId="77777777">
        <w:trPr>
          <w:trHeight w:val="342"/>
        </w:trPr>
        <w:tc>
          <w:tcPr>
            <w:tcW w:w="1378" w:type="dxa"/>
          </w:tcPr>
          <w:p w14:paraId="2B41799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298" w:type="dxa"/>
          </w:tcPr>
          <w:p w14:paraId="09E2A75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n general, we think the simplest way should be MN to make the final decision which entity to configure, the configuration message itself should be complied locally by that entity.</w:t>
            </w:r>
          </w:p>
          <w:p w14:paraId="573B913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w:t>
            </w:r>
            <w:r>
              <w:rPr>
                <w:rFonts w:ascii="Times New Roman" w:eastAsiaTheme="minorEastAsia" w:hAnsi="Times New Roman" w:cs="Times New Roman"/>
                <w:i/>
                <w:sz w:val="20"/>
                <w:szCs w:val="20"/>
                <w:lang w:val="en-GB" w:eastAsia="zh-CN"/>
              </w:rPr>
              <w:t>measConfigApplayerId</w:t>
            </w:r>
            <w:r>
              <w:rPr>
                <w:rFonts w:ascii="Times New Roman" w:eastAsiaTheme="minorEastAsia" w:hAnsi="Times New Roman" w:cs="Times New Roman"/>
                <w:sz w:val="20"/>
                <w:szCs w:val="20"/>
                <w:lang w:val="en-GB" w:eastAsia="zh-CN"/>
              </w:rPr>
              <w:t>, if finally we agree that there is only on node could generate the configuration, not sure why there is a need to negotiate this ID, we are open to discuss.</w:t>
            </w:r>
          </w:p>
          <w:p w14:paraId="233FFE6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MCE IP address, the safe way is anyway to exchange the received the MCE IP address, in case the node receiving the report is not the node configured the measurement.</w:t>
            </w:r>
          </w:p>
          <w:p w14:paraId="690F40B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RAN visible QoE measurement, the simpler way is to always let the node which configured the QoE measurement configure visible measurement.</w:t>
            </w:r>
          </w:p>
          <w:p w14:paraId="0933303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leg switching of QoE report, maybe just the node configured the measurement to decide whether to switch or, always let MN to decide and indicate to UE? We are open to discuss.</w:t>
            </w:r>
          </w:p>
          <w:p w14:paraId="0BCC444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leg switching of RAN visible QoE report, we think it is not necessary to switch the leg. In R17, the RAN visible QoE is not paused even if the UE receives the pause command. Therefore we think R18 can use the same principle. </w:t>
            </w:r>
          </w:p>
        </w:tc>
      </w:tr>
      <w:tr w:rsidR="008810FB" w14:paraId="3158D0C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7A26E0"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7298" w:type="dxa"/>
            <w:tcBorders>
              <w:top w:val="single" w:sz="4" w:space="0" w:color="auto"/>
              <w:left w:val="single" w:sz="4" w:space="0" w:color="auto"/>
              <w:bottom w:val="single" w:sz="4" w:space="0" w:color="auto"/>
              <w:right w:val="single" w:sz="4" w:space="0" w:color="auto"/>
            </w:tcBorders>
          </w:tcPr>
          <w:p w14:paraId="4C32272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agreement from last meeting was: </w:t>
            </w:r>
            <w:r>
              <w:rPr>
                <w:rFonts w:ascii="Calibri" w:hAnsi="Calibri" w:cs="Calibri"/>
                <w:i/>
                <w:iCs/>
                <w:color w:val="00B050"/>
                <w:kern w:val="2"/>
                <w:sz w:val="16"/>
                <w:szCs w:val="16"/>
              </w:rPr>
              <w:t>For M-based QoE configuration in NR-DC, coordination between MN and SN is needed.</w:t>
            </w:r>
          </w:p>
          <w:p w14:paraId="3B1503D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It is sufficient that OAM takes into account potential DC when configuring QMC. The area scope handling for DC needs to be solved anyway by the specification (how to handle PCell not in area scope, while PSCell in area scope…). (And a clear rule for CA is needed, too). </w:t>
            </w:r>
          </w:p>
          <w:p w14:paraId="30406469"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Concerning the possibility of different OAM between MN and SN, there is a single MCE IP address defined per QMC session so same MCE is expected. </w:t>
            </w:r>
          </w:p>
        </w:tc>
      </w:tr>
      <w:tr w:rsidR="009D471B" w14:paraId="1A416965"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374F65AC"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7298" w:type="dxa"/>
            <w:tcBorders>
              <w:top w:val="single" w:sz="4" w:space="0" w:color="auto"/>
              <w:left w:val="single" w:sz="4" w:space="0" w:color="auto"/>
              <w:bottom w:val="single" w:sz="4" w:space="0" w:color="auto"/>
              <w:right w:val="single" w:sz="4" w:space="0" w:color="auto"/>
            </w:tcBorders>
          </w:tcPr>
          <w:p w14:paraId="7BFC5478" w14:textId="77777777" w:rsidR="009D471B" w:rsidRPr="00FA39F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share view with Lenovo. And we are also open to discuss reporting leg switch related issues.</w:t>
            </w:r>
          </w:p>
        </w:tc>
      </w:tr>
    </w:tbl>
    <w:p w14:paraId="70649986" w14:textId="08CE838A" w:rsidR="008810FB" w:rsidRPr="0090474F" w:rsidRDefault="0090474F">
      <w:pPr>
        <w:spacing w:before="120" w:after="0"/>
        <w:ind w:left="-90"/>
        <w:rPr>
          <w:rFonts w:ascii="Times New Roman" w:hAnsi="Times New Roman" w:cs="Times New Roman"/>
          <w:b/>
          <w:bCs/>
          <w:color w:val="FF0000"/>
          <w:sz w:val="20"/>
          <w:szCs w:val="22"/>
        </w:rPr>
      </w:pPr>
      <w:r w:rsidRPr="0090474F">
        <w:rPr>
          <w:rFonts w:ascii="Times New Roman" w:hAnsi="Times New Roman" w:cs="Times New Roman"/>
          <w:b/>
          <w:bCs/>
          <w:color w:val="FF0000"/>
          <w:sz w:val="20"/>
          <w:szCs w:val="22"/>
        </w:rPr>
        <w:t>To be discussed in Round 2.</w:t>
      </w:r>
    </w:p>
    <w:p w14:paraId="5E62ABAE" w14:textId="77777777" w:rsidR="008810FB" w:rsidRDefault="003F7AF3">
      <w:pPr>
        <w:pStyle w:val="Heading3"/>
        <w:spacing w:after="0"/>
        <w:rPr>
          <w:rFonts w:ascii="Arial" w:hAnsi="Arial" w:cs="Arial"/>
        </w:rPr>
      </w:pPr>
      <w:r>
        <w:rPr>
          <w:rFonts w:ascii="Arial" w:hAnsi="Arial" w:cs="Arial"/>
        </w:rPr>
        <w:t>UE selection and configuration for m-QoE</w:t>
      </w:r>
    </w:p>
    <w:p w14:paraId="0A6111C0" w14:textId="4215E619"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Q2-1: </w:t>
      </w:r>
      <w:r>
        <w:rPr>
          <w:rFonts w:ascii="Times New Roman" w:hAnsi="Times New Roman" w:cs="Times New Roman"/>
          <w:b/>
          <w:bCs/>
          <w:sz w:val="20"/>
          <w:szCs w:val="20"/>
        </w:rPr>
        <w:t xml:space="preserve">If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is received </w:t>
      </w:r>
      <w:r>
        <w:rPr>
          <w:rFonts w:ascii="Times New Roman" w:hAnsi="Times New Roman" w:cs="Times New Roman"/>
          <w:b/>
          <w:bCs/>
          <w:sz w:val="20"/>
          <w:szCs w:val="20"/>
          <w:u w:val="single"/>
        </w:rPr>
        <w:t>only by the SN</w:t>
      </w:r>
      <w:r>
        <w:rPr>
          <w:rFonts w:ascii="Times New Roman" w:hAnsi="Times New Roman" w:cs="Times New Roman"/>
          <w:b/>
          <w:bCs/>
          <w:sz w:val="20"/>
          <w:szCs w:val="20"/>
        </w:rPr>
        <w:t>, does the SN perform UE selection and sends the QoE configuration to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5D48505A" w14:textId="77777777">
        <w:trPr>
          <w:trHeight w:val="325"/>
        </w:trPr>
        <w:tc>
          <w:tcPr>
            <w:tcW w:w="1378" w:type="dxa"/>
          </w:tcPr>
          <w:p w14:paraId="48F29691"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D870BC6"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0DB6F43"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5657893C" w14:textId="77777777">
        <w:trPr>
          <w:trHeight w:val="357"/>
        </w:trPr>
        <w:tc>
          <w:tcPr>
            <w:tcW w:w="1378" w:type="dxa"/>
          </w:tcPr>
          <w:p w14:paraId="3A3F85EE"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201D141"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0AC583A2"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MN cannot select the UEs and configure them, since it is out of area scope. SN should be able to do that – there is no reason to preclude QoE measurements in this case.</w:t>
            </w:r>
          </w:p>
        </w:tc>
      </w:tr>
      <w:tr w:rsidR="008810FB" w14:paraId="41F2C44C" w14:textId="77777777">
        <w:trPr>
          <w:trHeight w:val="342"/>
        </w:trPr>
        <w:tc>
          <w:tcPr>
            <w:tcW w:w="1378" w:type="dxa"/>
          </w:tcPr>
          <w:p w14:paraId="7738A32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52D7FFA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4376DC6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don’t think this is related to area scope. If the SN finds that the UE is in the area scope, SN can send the QoE configuration to MN, MN can decide whether to select UE based on the UE capability and the already configured QoEs, e.g. s-based QoE or m-based QoE in MN. In this way, there will be no duplicated configuration issue.</w:t>
            </w:r>
          </w:p>
        </w:tc>
      </w:tr>
      <w:tr w:rsidR="008810FB" w14:paraId="51255AFE" w14:textId="77777777">
        <w:trPr>
          <w:trHeight w:val="325"/>
        </w:trPr>
        <w:tc>
          <w:tcPr>
            <w:tcW w:w="1378" w:type="dxa"/>
          </w:tcPr>
          <w:p w14:paraId="19615FC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47A3B8F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EFBE8F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should be supported.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may be not in area </w:t>
            </w:r>
            <w:r>
              <w:rPr>
                <w:rFonts w:ascii="Times New Roman" w:eastAsiaTheme="minorEastAsia" w:hAnsi="Times New Roman" w:cs="Times New Roman"/>
                <w:sz w:val="20"/>
                <w:szCs w:val="20"/>
                <w:lang w:val="en-GB" w:eastAsia="zh-CN"/>
              </w:rPr>
              <w:t>scope and</w:t>
            </w:r>
            <w:r>
              <w:rPr>
                <w:rFonts w:ascii="Times New Roman" w:eastAsiaTheme="minorEastAsia" w:hAnsi="Times New Roman" w:cs="Times New Roman" w:hint="eastAsia"/>
                <w:sz w:val="20"/>
                <w:szCs w:val="20"/>
                <w:lang w:val="en-GB" w:eastAsia="zh-CN"/>
              </w:rPr>
              <w:t xml:space="preserve"> not </w:t>
            </w:r>
            <w:r>
              <w:rPr>
                <w:rFonts w:ascii="Times New Roman" w:eastAsiaTheme="minorEastAsia" w:hAnsi="Times New Roman" w:cs="Times New Roman"/>
                <w:sz w:val="20"/>
                <w:szCs w:val="20"/>
                <w:lang w:val="en-GB" w:eastAsia="zh-CN"/>
              </w:rPr>
              <w:t>receive the QMC;</w:t>
            </w:r>
            <w:r>
              <w:rPr>
                <w:rFonts w:ascii="Times New Roman" w:eastAsiaTheme="minorEastAsia" w:hAnsi="Times New Roman" w:cs="Times New Roman" w:hint="eastAsia"/>
                <w:sz w:val="20"/>
                <w:szCs w:val="20"/>
                <w:lang w:val="en-GB" w:eastAsia="zh-CN"/>
              </w:rPr>
              <w:t xml:space="preserve"> also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may be under another OAM. </w:t>
            </w:r>
          </w:p>
        </w:tc>
      </w:tr>
      <w:tr w:rsidR="008810FB" w14:paraId="0C580988" w14:textId="77777777">
        <w:trPr>
          <w:trHeight w:val="342"/>
        </w:trPr>
        <w:tc>
          <w:tcPr>
            <w:tcW w:w="1378" w:type="dxa"/>
          </w:tcPr>
          <w:p w14:paraId="2120A78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CC6C28C"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Yes on the UE selection </w:t>
            </w:r>
          </w:p>
          <w:p w14:paraId="7022680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Clarification needed for the configuration part</w:t>
            </w:r>
          </w:p>
        </w:tc>
        <w:tc>
          <w:tcPr>
            <w:tcW w:w="7200" w:type="dxa"/>
          </w:tcPr>
          <w:p w14:paraId="72FD8F0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SN can perform UE selection if m-based QoE is received on SN (SN is also aware of UE's QMC capability)</w:t>
            </w:r>
          </w:p>
          <w:p w14:paraId="04662D6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Regarding the 2</w:t>
            </w:r>
            <w:r>
              <w:rPr>
                <w:rFonts w:ascii="Times New Roman" w:eastAsiaTheme="minorEastAsia" w:hAnsi="Times New Roman" w:cs="Times New Roman"/>
                <w:sz w:val="20"/>
                <w:szCs w:val="20"/>
                <w:vertAlign w:val="superscript"/>
                <w:lang w:val="en-GB" w:eastAsia="zh-CN"/>
              </w:rPr>
              <w:t>nd</w:t>
            </w:r>
            <w:r>
              <w:rPr>
                <w:rFonts w:ascii="Times New Roman" w:eastAsiaTheme="minorEastAsia" w:hAnsi="Times New Roman" w:cs="Times New Roman"/>
                <w:sz w:val="20"/>
                <w:szCs w:val="20"/>
                <w:lang w:val="en-GB" w:eastAsia="zh-CN"/>
              </w:rPr>
              <w:t xml:space="preserve"> part, can it be clarified how SN sends the m-based QoE configuration to the UE?</w:t>
            </w:r>
          </w:p>
          <w:p w14:paraId="5EE8CB77" w14:textId="77777777" w:rsidR="008810FB" w:rsidRDefault="003F7AF3">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Option 1: SN sends m-based QoE configuration to MN over XnAP and MN sends QoE configuration over SRB1</w:t>
            </w:r>
          </w:p>
          <w:p w14:paraId="23D28885" w14:textId="77777777" w:rsidR="008810FB" w:rsidRDefault="003F7AF3">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Option 2: SN sends SN generated RVQoE configuration as a container to MN and MN sends the container over SRB1 </w:t>
            </w:r>
          </w:p>
          <w:p w14:paraId="5ECC2C8F" w14:textId="77777777" w:rsidR="008810FB" w:rsidRDefault="003F7AF3">
            <w:pPr>
              <w:pStyle w:val="ListParagraph"/>
              <w:numPr>
                <w:ilvl w:val="0"/>
                <w:numId w:val="6"/>
              </w:numPr>
              <w:spacing w:before="120" w:after="0"/>
              <w:rPr>
                <w:rFonts w:ascii="Times New Roman" w:eastAsiaTheme="minorEastAsia" w:hAnsi="Times New Roman" w:cs="Times New Roman"/>
              </w:rPr>
            </w:pPr>
            <w:r>
              <w:rPr>
                <w:rFonts w:ascii="Times New Roman" w:eastAsiaTheme="minorEastAsia" w:hAnsi="Times New Roman" w:cs="Times New Roman"/>
              </w:rPr>
              <w:t>Option 3: SN sends m-based QoE configuration to UE directly over SRB3</w:t>
            </w:r>
          </w:p>
          <w:p w14:paraId="59D6466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Option 1 is sufficient and SRB3 need not be considered for configuring m-based QoE. Even if MN is not in area scope, Option 1 can still be used in our view as </w:t>
            </w:r>
            <w:r>
              <w:rPr>
                <w:rFonts w:ascii="Times New Roman" w:eastAsiaTheme="minorEastAsia" w:hAnsi="Times New Roman" w:cs="Times New Roman"/>
                <w:sz w:val="20"/>
                <w:szCs w:val="20"/>
                <w:lang w:val="en-GB" w:eastAsia="zh-CN"/>
              </w:rPr>
              <w:br/>
              <w:t>“UE is still in area scope under SN” and MN simply configures the UE with the m-based QoE configuration (area scope check already happened at SN during UE selection).</w:t>
            </w:r>
          </w:p>
        </w:tc>
      </w:tr>
      <w:tr w:rsidR="008810FB" w14:paraId="25C834BD" w14:textId="77777777">
        <w:trPr>
          <w:trHeight w:val="325"/>
        </w:trPr>
        <w:tc>
          <w:tcPr>
            <w:tcW w:w="1378" w:type="dxa"/>
          </w:tcPr>
          <w:p w14:paraId="287262A6"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473F55A4"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Pr>
          <w:p w14:paraId="63C55E8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are questionable about the scenario. Do you mean MN and SN are connecting different OAM system? If so, how e) Indication of QoE reference and MCE IP address for forwarding the QoE reports directly to MCE in Q1-1 works. </w:t>
            </w:r>
          </w:p>
        </w:tc>
      </w:tr>
      <w:tr w:rsidR="008810FB" w14:paraId="19D301E8" w14:textId="77777777">
        <w:trPr>
          <w:trHeight w:val="342"/>
        </w:trPr>
        <w:tc>
          <w:tcPr>
            <w:tcW w:w="1378" w:type="dxa"/>
          </w:tcPr>
          <w:p w14:paraId="0C9C0C6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5993B74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Pr>
          <w:p w14:paraId="12EB4164"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In our mind, it is better to let MN perform UE selection and configure QMC to UE, because MN would anyway be able to do it in other cases. If we simply let SN to perform UE selection and sends the configuration to UE, further enhancement is needed on SCG SRB, which we think is not necessary.</w:t>
            </w:r>
          </w:p>
          <w:p w14:paraId="663852F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With the coordination procedure (discussed in section 3.1.1), we believe it would be feasible that SN can send the QMC configuration to MN and let MN do the further work.  </w:t>
            </w:r>
          </w:p>
        </w:tc>
      </w:tr>
      <w:tr w:rsidR="008810FB" w14:paraId="0AA7C60C" w14:textId="77777777">
        <w:trPr>
          <w:trHeight w:val="342"/>
        </w:trPr>
        <w:tc>
          <w:tcPr>
            <w:tcW w:w="1378" w:type="dxa"/>
          </w:tcPr>
          <w:p w14:paraId="4EFCDBA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uawei </w:t>
            </w:r>
          </w:p>
        </w:tc>
        <w:tc>
          <w:tcPr>
            <w:tcW w:w="1209" w:type="dxa"/>
          </w:tcPr>
          <w:p w14:paraId="55835C4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2B76E12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irstly, after MN and SN exchanged information, both MN and SN learn that m-based QoE configuration is received only by the SN, then it is SN to select UEs and configure.</w:t>
            </w:r>
          </w:p>
        </w:tc>
      </w:tr>
      <w:tr w:rsidR="008810FB" w14:paraId="46F7A4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165750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0C477001"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2BA07D6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 need for the network to handle such configuration scenario, OAM solution is sufficient.</w:t>
            </w:r>
          </w:p>
        </w:tc>
      </w:tr>
      <w:tr w:rsidR="008810FB" w14:paraId="7B08129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564D7D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28B8E32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57EEB0F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Even if the QoE configuration is only received by SN, it need to coordinate with MN first, otherwise it is not sure whether MN also received the same QoE configuration. Since MN will get the QoE configuration received by SN, it is better for MN to send the QoE configuration to UE, the configuration procedure will be simple and unified for all the cases (received by MN, by SN, by MN and SN).</w:t>
            </w:r>
          </w:p>
        </w:tc>
      </w:tr>
      <w:tr w:rsidR="009D471B" w14:paraId="2798FD80"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7FBD9499"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26FAB3E2" w14:textId="77777777" w:rsidR="009D471B" w:rsidRDefault="009D471B" w:rsidP="00DB4143">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AD3BA24" w14:textId="77777777" w:rsidR="009D471B" w:rsidRPr="00FA39F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It could be regarded as SN-initiated qoe configuration case, and we need to firstly make sure that </w:t>
            </w:r>
            <w:r>
              <w:rPr>
                <w:rFonts w:ascii="Times New Roman" w:eastAsiaTheme="minorEastAsia" w:hAnsi="Times New Roman" w:cs="Times New Roman" w:hint="eastAsia"/>
                <w:sz w:val="20"/>
                <w:szCs w:val="20"/>
                <w:lang w:val="en-GB" w:eastAsia="zh-CN"/>
              </w:rPr>
              <w:t>M</w:t>
            </w:r>
            <w:r>
              <w:rPr>
                <w:rFonts w:ascii="Times New Roman" w:eastAsiaTheme="minorEastAsia" w:hAnsi="Times New Roman" w:cs="Times New Roman"/>
                <w:sz w:val="20"/>
                <w:szCs w:val="20"/>
                <w:lang w:val="en-GB" w:eastAsia="zh-CN"/>
              </w:rPr>
              <w:t>N makes the final decision on which node to configure. If MN decides such m-based QoE configuration is done by SN, then SN can send QoE config to UE.</w:t>
            </w:r>
          </w:p>
        </w:tc>
      </w:tr>
      <w:tr w:rsidR="008810FB" w14:paraId="79729C8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341EC3F" w14:textId="77777777" w:rsidR="008810FB" w:rsidRPr="009D471B" w:rsidRDefault="008810FB">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0310F11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BFD249E"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6339E5C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CEB39A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70EF95C"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480FB6B"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7570003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31D09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51B6ED7"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8782D56" w14:textId="77777777" w:rsidR="008810FB" w:rsidRDefault="008810FB">
            <w:pPr>
              <w:spacing w:before="120" w:after="0"/>
              <w:rPr>
                <w:rFonts w:ascii="Times New Roman" w:hAnsi="Times New Roman" w:cs="Times New Roman"/>
                <w:bCs/>
                <w:sz w:val="20"/>
                <w:szCs w:val="20"/>
                <w:lang w:val="en-GB"/>
              </w:rPr>
            </w:pPr>
          </w:p>
        </w:tc>
      </w:tr>
      <w:tr w:rsidR="008810FB" w14:paraId="2BEFF4E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4C49B1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57D9C7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EE7568C" w14:textId="77777777" w:rsidR="008810FB" w:rsidRDefault="008810FB">
            <w:pPr>
              <w:spacing w:before="120" w:after="0"/>
              <w:rPr>
                <w:rFonts w:ascii="Times New Roman" w:hAnsi="Times New Roman" w:cs="Times New Roman"/>
                <w:bCs/>
                <w:sz w:val="20"/>
                <w:szCs w:val="20"/>
                <w:lang w:val="en-GB"/>
              </w:rPr>
            </w:pPr>
          </w:p>
        </w:tc>
      </w:tr>
    </w:tbl>
    <w:p w14:paraId="2F92222C" w14:textId="5639B9E0" w:rsidR="008810FB" w:rsidRPr="001E5608" w:rsidRDefault="001E5608">
      <w:pPr>
        <w:spacing w:before="120" w:after="0"/>
        <w:ind w:left="-90"/>
        <w:rPr>
          <w:rFonts w:ascii="Times New Roman" w:hAnsi="Times New Roman" w:cs="Times New Roman"/>
          <w:b/>
          <w:bCs/>
          <w:color w:val="0070C0"/>
          <w:sz w:val="20"/>
          <w:szCs w:val="22"/>
          <w:u w:val="single"/>
        </w:rPr>
      </w:pPr>
      <w:r w:rsidRPr="001E5608">
        <w:rPr>
          <w:rFonts w:ascii="Times New Roman" w:hAnsi="Times New Roman" w:cs="Times New Roman"/>
          <w:b/>
          <w:bCs/>
          <w:color w:val="0070C0"/>
          <w:sz w:val="20"/>
          <w:szCs w:val="22"/>
        </w:rPr>
        <w:t>Discuss whether, i</w:t>
      </w:r>
      <w:r w:rsidR="008506EC" w:rsidRPr="001E5608">
        <w:rPr>
          <w:rFonts w:ascii="Times New Roman" w:hAnsi="Times New Roman" w:cs="Times New Roman"/>
          <w:b/>
          <w:bCs/>
          <w:color w:val="0070C0"/>
          <w:sz w:val="20"/>
          <w:szCs w:val="22"/>
        </w:rPr>
        <w:t xml:space="preserve">f an m-based QoE configuration is received only by the </w:t>
      </w:r>
      <w:r w:rsidRPr="001E5608">
        <w:rPr>
          <w:rFonts w:ascii="Times New Roman" w:hAnsi="Times New Roman" w:cs="Times New Roman"/>
          <w:b/>
          <w:bCs/>
          <w:color w:val="0070C0"/>
          <w:sz w:val="20"/>
          <w:szCs w:val="22"/>
        </w:rPr>
        <w:t xml:space="preserve">SN (e.g., if </w:t>
      </w:r>
      <w:r>
        <w:rPr>
          <w:rFonts w:ascii="Times New Roman" w:hAnsi="Times New Roman" w:cs="Times New Roman"/>
          <w:b/>
          <w:bCs/>
          <w:color w:val="0070C0"/>
          <w:sz w:val="20"/>
          <w:szCs w:val="22"/>
        </w:rPr>
        <w:t xml:space="preserve">the </w:t>
      </w:r>
      <w:r w:rsidRPr="001E5608">
        <w:rPr>
          <w:rFonts w:ascii="Times New Roman" w:hAnsi="Times New Roman" w:cs="Times New Roman"/>
          <w:b/>
          <w:bCs/>
          <w:color w:val="0070C0"/>
          <w:sz w:val="20"/>
          <w:szCs w:val="22"/>
        </w:rPr>
        <w:t>MN does not support QoE measurements)</w:t>
      </w:r>
      <w:r w:rsidR="008506EC" w:rsidRPr="001E5608">
        <w:rPr>
          <w:rFonts w:ascii="Times New Roman" w:hAnsi="Times New Roman" w:cs="Times New Roman"/>
          <w:b/>
          <w:bCs/>
          <w:color w:val="0070C0"/>
          <w:sz w:val="20"/>
          <w:szCs w:val="22"/>
        </w:rPr>
        <w:t xml:space="preserve">, </w:t>
      </w:r>
      <w:r w:rsidRPr="001E5608">
        <w:rPr>
          <w:rFonts w:ascii="Times New Roman" w:hAnsi="Times New Roman" w:cs="Times New Roman"/>
          <w:b/>
          <w:bCs/>
          <w:color w:val="0070C0"/>
          <w:sz w:val="20"/>
          <w:szCs w:val="22"/>
        </w:rPr>
        <w:t>t</w:t>
      </w:r>
      <w:r w:rsidR="008506EC" w:rsidRPr="001E5608">
        <w:rPr>
          <w:rFonts w:ascii="Times New Roman" w:hAnsi="Times New Roman" w:cs="Times New Roman"/>
          <w:b/>
          <w:bCs/>
          <w:color w:val="0070C0"/>
          <w:sz w:val="20"/>
          <w:szCs w:val="22"/>
        </w:rPr>
        <w:t>he SN perform</w:t>
      </w:r>
      <w:r w:rsidRPr="001E5608">
        <w:rPr>
          <w:rFonts w:ascii="Times New Roman" w:hAnsi="Times New Roman" w:cs="Times New Roman"/>
          <w:b/>
          <w:bCs/>
          <w:color w:val="0070C0"/>
          <w:sz w:val="20"/>
          <w:szCs w:val="22"/>
        </w:rPr>
        <w:t>s</w:t>
      </w:r>
      <w:r w:rsidR="008506EC" w:rsidRPr="001E5608">
        <w:rPr>
          <w:rFonts w:ascii="Times New Roman" w:hAnsi="Times New Roman" w:cs="Times New Roman"/>
          <w:b/>
          <w:bCs/>
          <w:color w:val="0070C0"/>
          <w:sz w:val="20"/>
          <w:szCs w:val="22"/>
        </w:rPr>
        <w:t xml:space="preserve"> UE selection and sends the QoE configuration to the </w:t>
      </w:r>
      <w:r w:rsidRPr="001E5608">
        <w:rPr>
          <w:rFonts w:ascii="Times New Roman" w:hAnsi="Times New Roman" w:cs="Times New Roman"/>
          <w:b/>
          <w:bCs/>
          <w:color w:val="0070C0"/>
          <w:sz w:val="20"/>
          <w:szCs w:val="22"/>
        </w:rPr>
        <w:t>UE.</w:t>
      </w:r>
    </w:p>
    <w:p w14:paraId="1435C1F0"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Q2-2: </w:t>
      </w:r>
      <w:r>
        <w:rPr>
          <w:rFonts w:ascii="Times New Roman" w:hAnsi="Times New Roman" w:cs="Times New Roman"/>
          <w:b/>
          <w:bCs/>
          <w:sz w:val="20"/>
          <w:szCs w:val="20"/>
        </w:rPr>
        <w:t xml:space="preserve">If </w:t>
      </w:r>
      <w:r>
        <w:rPr>
          <w:rFonts w:ascii="Times New Roman" w:hAnsi="Times New Roman" w:cs="Times New Roman"/>
          <w:b/>
          <w:bCs/>
          <w:sz w:val="20"/>
          <w:szCs w:val="20"/>
          <w:u w:val="single"/>
        </w:rPr>
        <w:t>only MN or only SN</w:t>
      </w:r>
      <w:r>
        <w:rPr>
          <w:rFonts w:ascii="Times New Roman" w:hAnsi="Times New Roman" w:cs="Times New Roman"/>
          <w:b/>
          <w:bCs/>
          <w:sz w:val="20"/>
          <w:szCs w:val="20"/>
        </w:rPr>
        <w:t xml:space="preserve"> receives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should this node notify the other node about it?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6356E20" w14:textId="77777777">
        <w:trPr>
          <w:trHeight w:val="325"/>
        </w:trPr>
        <w:tc>
          <w:tcPr>
            <w:tcW w:w="1378" w:type="dxa"/>
          </w:tcPr>
          <w:p w14:paraId="6D5DC065"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40AAC2F9"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7206B407"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29B4C1CB" w14:textId="77777777">
        <w:trPr>
          <w:trHeight w:val="357"/>
        </w:trPr>
        <w:tc>
          <w:tcPr>
            <w:tcW w:w="1378" w:type="dxa"/>
          </w:tcPr>
          <w:p w14:paraId="4ACE8596"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FE79BAA"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234BB03C"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Even if the other node is not in area scope, it may be needed to use this other node for QoE reporting, for example during overload.</w:t>
            </w:r>
          </w:p>
        </w:tc>
      </w:tr>
      <w:tr w:rsidR="008810FB" w14:paraId="40F61834" w14:textId="77777777">
        <w:trPr>
          <w:trHeight w:val="342"/>
        </w:trPr>
        <w:tc>
          <w:tcPr>
            <w:tcW w:w="1378" w:type="dxa"/>
          </w:tcPr>
          <w:p w14:paraId="167B53F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14515F6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Partially yes</w:t>
            </w:r>
          </w:p>
        </w:tc>
        <w:tc>
          <w:tcPr>
            <w:tcW w:w="7200" w:type="dxa"/>
          </w:tcPr>
          <w:p w14:paraId="10C509F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In our understanding, MN should be in charge of all the QoE configurations for the UE, SN should notify the QoE configuration to MN if the UE is in the scope. </w:t>
            </w:r>
          </w:p>
          <w:p w14:paraId="721C40F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Thus, we think only SN needs to notify MN the m-based QoE configuration in SN. And the RVQoE measurement interests can be discussed separately.</w:t>
            </w:r>
          </w:p>
        </w:tc>
      </w:tr>
      <w:tr w:rsidR="008810FB" w14:paraId="0E354A30" w14:textId="77777777">
        <w:trPr>
          <w:trHeight w:val="325"/>
        </w:trPr>
        <w:tc>
          <w:tcPr>
            <w:tcW w:w="1378" w:type="dxa"/>
          </w:tcPr>
          <w:p w14:paraId="3C0B6B1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1D192AC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98AD5B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node </w:t>
            </w:r>
            <w:r>
              <w:rPr>
                <w:rFonts w:ascii="Times New Roman" w:eastAsiaTheme="minorEastAsia" w:hAnsi="Times New Roman" w:cs="Times New Roman"/>
                <w:sz w:val="20"/>
                <w:szCs w:val="20"/>
                <w:lang w:val="en-GB" w:eastAsia="zh-CN"/>
              </w:rPr>
              <w:t>should notify</w:t>
            </w:r>
            <w:r>
              <w:rPr>
                <w:rFonts w:ascii="Times New Roman" w:eastAsiaTheme="minorEastAsia" w:hAnsi="Times New Roman" w:cs="Times New Roman" w:hint="eastAsia"/>
                <w:sz w:val="20"/>
                <w:szCs w:val="20"/>
                <w:lang w:val="en-GB" w:eastAsia="zh-CN"/>
              </w:rPr>
              <w:t xml:space="preserve"> another </w:t>
            </w:r>
            <w:r>
              <w:rPr>
                <w:rFonts w:ascii="Times New Roman" w:eastAsiaTheme="minorEastAsia" w:hAnsi="Times New Roman" w:cs="Times New Roman"/>
                <w:sz w:val="20"/>
                <w:szCs w:val="20"/>
                <w:lang w:val="en-GB" w:eastAsia="zh-CN"/>
              </w:rPr>
              <w:t>node. Firstly</w:t>
            </w:r>
            <w:r>
              <w:rPr>
                <w:rFonts w:ascii="Times New Roman" w:eastAsiaTheme="minorEastAsia" w:hAnsi="Times New Roman" w:cs="Times New Roman" w:hint="eastAsia"/>
                <w:sz w:val="20"/>
                <w:szCs w:val="20"/>
                <w:lang w:val="en-GB" w:eastAsia="zh-CN"/>
              </w:rPr>
              <w:t xml:space="preserve"> it is used to confirm whether it is only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by one node. </w:t>
            </w: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nd exchange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configuration to </w:t>
            </w:r>
            <w:r>
              <w:rPr>
                <w:rFonts w:ascii="Times New Roman" w:eastAsiaTheme="minorEastAsia" w:hAnsi="Times New Roman" w:cs="Times New Roman"/>
                <w:sz w:val="20"/>
                <w:szCs w:val="20"/>
                <w:lang w:val="en-GB" w:eastAsia="zh-CN"/>
              </w:rPr>
              <w:t>avoid</w:t>
            </w:r>
            <w:r>
              <w:rPr>
                <w:rFonts w:ascii="Times New Roman" w:eastAsiaTheme="minorEastAsia" w:hAnsi="Times New Roman" w:cs="Times New Roman" w:hint="eastAsia"/>
                <w:sz w:val="20"/>
                <w:szCs w:val="20"/>
                <w:lang w:val="en-GB" w:eastAsia="zh-CN"/>
              </w:rPr>
              <w:t xml:space="preserve">  confliction later.</w:t>
            </w:r>
          </w:p>
        </w:tc>
      </w:tr>
      <w:tr w:rsidR="008810FB" w14:paraId="68DC95DD" w14:textId="77777777">
        <w:trPr>
          <w:trHeight w:val="342"/>
        </w:trPr>
        <w:tc>
          <w:tcPr>
            <w:tcW w:w="1378" w:type="dxa"/>
          </w:tcPr>
          <w:p w14:paraId="2D6BC73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AC6502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Partially yes (FFS whether implicit or explicit notification)</w:t>
            </w:r>
          </w:p>
        </w:tc>
        <w:tc>
          <w:tcPr>
            <w:tcW w:w="7200" w:type="dxa"/>
          </w:tcPr>
          <w:p w14:paraId="44FE242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Xiaomi.</w:t>
            </w:r>
          </w:p>
          <w:p w14:paraId="64BE2EF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only SN receives an m-based QoE configuration, SN can notify MN about the m-based QoE configuration (FFS whether it can be an implicit notification by sending the entire m-based QoE configuration over Xn or an explicit notification is needed)</w:t>
            </w:r>
          </w:p>
          <w:p w14:paraId="6F1D373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If only MN receives an m-based QoE configuration, we are not sure why MN needs to notify SN about the m-based QoE configuration?</w:t>
            </w:r>
          </w:p>
          <w:p w14:paraId="4EDBFF43"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30E6F379" w14:textId="77777777">
        <w:trPr>
          <w:trHeight w:val="325"/>
        </w:trPr>
        <w:tc>
          <w:tcPr>
            <w:tcW w:w="1378" w:type="dxa"/>
          </w:tcPr>
          <w:p w14:paraId="716E2808"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2A02B89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456F375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need to discuss the feasibility of UE based solution as well:</w:t>
            </w:r>
          </w:p>
          <w:p w14:paraId="56A9F17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1: UE based solution</w:t>
            </w:r>
          </w:p>
          <w:p w14:paraId="50A0862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When receiving M-based QoE measurement, the MN or SN may select a UE for the QoE measurement and send QoE measurement configuration to the UE. The UE application layer identifies the QoE measurement as duplicated configuration. The UE application layer ignores or rejects the duplicated QoE measurement configuration and feedbacks to UE RRC layer that the QoE measurement is duplicated and ignored. Then the UE RRC layer responds to the MN or SN that the QoE measurement is ignored or rejected due to duplicated configuration.</w:t>
            </w:r>
          </w:p>
          <w:p w14:paraId="39470A3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Solution 2: Network based solution</w:t>
            </w:r>
          </w:p>
          <w:p w14:paraId="755FB27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One of network-based solution is when receiving M-based QoE activation from OAM and selecting a UE served by SN, SN sends QoE measurement request info to MN. The QoE measurement request info includes the QoE reference, area scope and service type. MN responds SN whether QoE measurement is allowed. MN may further indicate whether the same QoE measurement is already configured to the UE by MN or not.</w:t>
            </w:r>
          </w:p>
          <w:p w14:paraId="734ECBA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E</w:t>
            </w:r>
            <w:r>
              <w:rPr>
                <w:rFonts w:ascii="Times New Roman" w:eastAsiaTheme="minorEastAsia" w:hAnsi="Times New Roman" w:cs="Times New Roman"/>
                <w:sz w:val="20"/>
                <w:szCs w:val="20"/>
                <w:lang w:val="en-GB" w:eastAsia="zh-CN"/>
              </w:rPr>
              <w:t>ven for network based solution, there are many variants.</w:t>
            </w:r>
          </w:p>
        </w:tc>
      </w:tr>
      <w:tr w:rsidR="008810FB" w14:paraId="010D74EA" w14:textId="77777777">
        <w:trPr>
          <w:trHeight w:val="342"/>
        </w:trPr>
        <w:tc>
          <w:tcPr>
            <w:tcW w:w="1378" w:type="dxa"/>
          </w:tcPr>
          <w:p w14:paraId="271738E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40EEEED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w:t>
            </w:r>
          </w:p>
        </w:tc>
        <w:tc>
          <w:tcPr>
            <w:tcW w:w="7200" w:type="dxa"/>
          </w:tcPr>
          <w:p w14:paraId="294E017B"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The point is that MN and SN may not be aware that it is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only</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node which receives the m-based QoE configuration, so at least a notification should be sent to the other message to check whether the other node receives the same configuration. Specifically, as discussed in our paper:</w:t>
            </w:r>
          </w:p>
          <w:p w14:paraId="309B8ED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Opt 1: </w:t>
            </w:r>
            <w:r>
              <w:rPr>
                <w:rFonts w:ascii="Times New Roman" w:eastAsiaTheme="minorEastAsia" w:hAnsi="Times New Roman" w:cs="Times New Roman" w:hint="eastAsia"/>
                <w:b/>
                <w:bCs/>
                <w:sz w:val="20"/>
                <w:szCs w:val="20"/>
                <w:lang w:eastAsia="zh-CN"/>
              </w:rPr>
              <w:t>MN-initiated coordination</w:t>
            </w:r>
            <w:r>
              <w:rPr>
                <w:rFonts w:ascii="Times New Roman" w:eastAsiaTheme="minorEastAsia" w:hAnsi="Times New Roman" w:cs="Times New Roman" w:hint="eastAsia"/>
                <w:sz w:val="20"/>
                <w:szCs w:val="20"/>
                <w:lang w:eastAsia="zh-CN"/>
              </w:rPr>
              <w:t xml:space="preserve"> - if MN receives the QMC configuration, it can trigger a MN-initiated class-1 procedure to check with SN whether it receives the same config; </w:t>
            </w:r>
          </w:p>
          <w:p w14:paraId="5AC2DE89"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Opt 2: </w:t>
            </w:r>
            <w:r>
              <w:rPr>
                <w:rFonts w:ascii="Times New Roman" w:eastAsiaTheme="minorEastAsia" w:hAnsi="Times New Roman" w:cs="Times New Roman" w:hint="eastAsia"/>
                <w:b/>
                <w:bCs/>
                <w:sz w:val="20"/>
                <w:szCs w:val="20"/>
                <w:lang w:eastAsia="zh-CN"/>
              </w:rPr>
              <w:t>SN-initiated coordination</w:t>
            </w:r>
            <w:r>
              <w:rPr>
                <w:rFonts w:ascii="Times New Roman" w:eastAsiaTheme="minorEastAsia" w:hAnsi="Times New Roman" w:cs="Times New Roman" w:hint="eastAsia"/>
                <w:sz w:val="20"/>
                <w:szCs w:val="20"/>
                <w:lang w:eastAsia="zh-CN"/>
              </w:rPr>
              <w:t xml:space="preserve"> -  if SN receives the QMC configuration, SN can trigger an SN-initiated class-1 procedure to check whether MN receives the same configuration. </w:t>
            </w:r>
          </w:p>
          <w:p w14:paraId="00E01C3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But bi-directional checking is not needed actually (especially if both MN and SN received the same configuration), which would bring unnecessary signaling overhead, i.e., a one-way checking is sufficient(MN-&gt; SN, or SN-&gt; MN). </w:t>
            </w:r>
          </w:p>
          <w:p w14:paraId="30A739C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MN initiated coordination is confirmed, in the case that SN is the only node which receives the m-based config, after some period of time, it does not receive any notification from MN, then it can be assumed that only SN receives the m-based configuration.</w:t>
            </w:r>
          </w:p>
          <w:p w14:paraId="1A60724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Either MN initiated or SN initiated procedure is fine to us. Of course the details can be further discussed.</w:t>
            </w:r>
          </w:p>
        </w:tc>
      </w:tr>
      <w:tr w:rsidR="008810FB" w14:paraId="75AB1258" w14:textId="77777777">
        <w:trPr>
          <w:trHeight w:val="342"/>
        </w:trPr>
        <w:tc>
          <w:tcPr>
            <w:tcW w:w="1378" w:type="dxa"/>
          </w:tcPr>
          <w:p w14:paraId="7C4ADFA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F73EDE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7D7B139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Similar view as E///.</w:t>
            </w:r>
          </w:p>
        </w:tc>
      </w:tr>
      <w:tr w:rsidR="008810FB" w14:paraId="67B92D4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EEBA44B"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710AA17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partly yes</w:t>
            </w:r>
          </w:p>
        </w:tc>
        <w:tc>
          <w:tcPr>
            <w:tcW w:w="7200" w:type="dxa"/>
            <w:tcBorders>
              <w:top w:val="single" w:sz="4" w:space="0" w:color="auto"/>
              <w:left w:val="single" w:sz="4" w:space="0" w:color="auto"/>
              <w:bottom w:val="single" w:sz="4" w:space="0" w:color="auto"/>
              <w:right w:val="single" w:sz="4" w:space="0" w:color="auto"/>
            </w:tcBorders>
          </w:tcPr>
          <w:p w14:paraId="3FE24D3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MN needs to inform the SN about m-based configuration in order to enable reporting over the SCG leg, as mentioned by E/// </w:t>
            </w:r>
          </w:p>
        </w:tc>
      </w:tr>
      <w:tr w:rsidR="008810FB" w14:paraId="04920FD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60B68D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3EC0FA3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Partially </w:t>
            </w:r>
            <w:r>
              <w:rPr>
                <w:rFonts w:ascii="Times New Roman" w:eastAsiaTheme="minorEastAsia" w:hAnsi="Times New Roman" w:cs="Times New Roman" w:hint="eastAsia"/>
                <w:sz w:val="20"/>
                <w:szCs w:val="20"/>
                <w:lang w:eastAsia="zh-CN"/>
              </w:rPr>
              <w:t xml:space="preserve"> Yes</w:t>
            </w:r>
          </w:p>
        </w:tc>
        <w:tc>
          <w:tcPr>
            <w:tcW w:w="7200" w:type="dxa"/>
            <w:tcBorders>
              <w:top w:val="single" w:sz="4" w:space="0" w:color="auto"/>
              <w:left w:val="single" w:sz="4" w:space="0" w:color="auto"/>
              <w:bottom w:val="single" w:sz="4" w:space="0" w:color="auto"/>
              <w:right w:val="single" w:sz="4" w:space="0" w:color="auto"/>
            </w:tcBorders>
          </w:tcPr>
          <w:p w14:paraId="0C4BACC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SN receives the m-based QoE configuration, it should send the configuration to MN;</w:t>
            </w:r>
          </w:p>
          <w:p w14:paraId="4E2F385C"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If MN receives the m-based QoE configuration, we think only part of the QoE configuration need to send to SN, maybe QoE configuration container is not needed;</w:t>
            </w:r>
          </w:p>
        </w:tc>
      </w:tr>
      <w:tr w:rsidR="009D471B" w14:paraId="0841BFF3"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72778772"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6E940B69" w14:textId="77777777" w:rsidR="009D471B" w:rsidRPr="00CE6C5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4086A3AB" w14:textId="77777777" w:rsidR="009D471B" w:rsidRPr="00CE6C5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hare view with E.</w:t>
            </w:r>
          </w:p>
        </w:tc>
      </w:tr>
      <w:tr w:rsidR="008810FB" w14:paraId="2391035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D6D852C"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D9AD628"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481688F5"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64C426B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D39B60A"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A094F28"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522EB435"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1C132FF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40D8BE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6BBEAF7"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231D05D" w14:textId="77777777" w:rsidR="008810FB" w:rsidRDefault="008810FB">
            <w:pPr>
              <w:spacing w:before="120" w:after="0"/>
              <w:rPr>
                <w:rFonts w:ascii="Times New Roman" w:hAnsi="Times New Roman" w:cs="Times New Roman"/>
                <w:sz w:val="20"/>
                <w:szCs w:val="20"/>
                <w:lang w:val="en-GB"/>
              </w:rPr>
            </w:pPr>
          </w:p>
        </w:tc>
      </w:tr>
      <w:tr w:rsidR="008810FB" w14:paraId="73DC192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723E8B4"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7A3104B"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5B4CAFD" w14:textId="77777777" w:rsidR="008810FB" w:rsidRDefault="008810FB">
            <w:pPr>
              <w:spacing w:before="120" w:after="0"/>
              <w:rPr>
                <w:rFonts w:ascii="Times New Roman" w:hAnsi="Times New Roman" w:cs="Times New Roman"/>
                <w:sz w:val="20"/>
                <w:szCs w:val="20"/>
                <w:lang w:val="en-GB"/>
              </w:rPr>
            </w:pPr>
          </w:p>
        </w:tc>
      </w:tr>
    </w:tbl>
    <w:p w14:paraId="5DBE1E26" w14:textId="520AE6BA" w:rsidR="008810FB" w:rsidRDefault="00AF19B2">
      <w:pPr>
        <w:spacing w:before="120" w:after="0"/>
        <w:ind w:left="-90"/>
        <w:rPr>
          <w:rFonts w:ascii="Times New Roman" w:hAnsi="Times New Roman" w:cs="Times New Roman"/>
          <w:b/>
          <w:bCs/>
          <w:color w:val="0070C0"/>
          <w:sz w:val="20"/>
          <w:szCs w:val="22"/>
          <w:u w:val="single"/>
        </w:rPr>
      </w:pPr>
      <w:r w:rsidRPr="00EB35D6">
        <w:rPr>
          <w:rFonts w:ascii="Times New Roman" w:hAnsi="Times New Roman" w:cs="Times New Roman"/>
          <w:b/>
          <w:bCs/>
          <w:color w:val="00B050"/>
          <w:sz w:val="20"/>
          <w:szCs w:val="22"/>
        </w:rPr>
        <w:t xml:space="preserve">Proposal </w:t>
      </w:r>
      <w:r w:rsidR="00283B9A">
        <w:rPr>
          <w:rFonts w:ascii="Times New Roman" w:hAnsi="Times New Roman" w:cs="Times New Roman"/>
          <w:b/>
          <w:bCs/>
          <w:color w:val="00B050"/>
          <w:sz w:val="20"/>
          <w:szCs w:val="22"/>
        </w:rPr>
        <w:t>1</w:t>
      </w:r>
      <w:r w:rsidRPr="00EB35D6">
        <w:rPr>
          <w:rFonts w:ascii="Times New Roman" w:hAnsi="Times New Roman" w:cs="Times New Roman"/>
          <w:b/>
          <w:bCs/>
          <w:color w:val="00B050"/>
          <w:sz w:val="20"/>
          <w:szCs w:val="22"/>
        </w:rPr>
        <w:t>:</w:t>
      </w:r>
      <w:r w:rsidR="0096245F">
        <w:rPr>
          <w:rFonts w:ascii="Times New Roman" w:hAnsi="Times New Roman" w:cs="Times New Roman"/>
          <w:b/>
          <w:bCs/>
          <w:color w:val="00B050"/>
          <w:sz w:val="20"/>
          <w:szCs w:val="22"/>
        </w:rPr>
        <w:t xml:space="preserve"> </w:t>
      </w:r>
      <w:r w:rsidR="0096245F" w:rsidRPr="0096245F">
        <w:rPr>
          <w:rFonts w:ascii="Times New Roman" w:hAnsi="Times New Roman" w:cs="Times New Roman"/>
          <w:b/>
          <w:bCs/>
          <w:color w:val="00B050"/>
          <w:sz w:val="20"/>
          <w:szCs w:val="22"/>
        </w:rPr>
        <w:t>If only MN or only SN receives an m-based QoE configuration, this node should notify the other node about it.</w:t>
      </w:r>
    </w:p>
    <w:p w14:paraId="61977324"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Q2-3: </w:t>
      </w:r>
      <w:r>
        <w:rPr>
          <w:rFonts w:ascii="Times New Roman" w:hAnsi="Times New Roman" w:cs="Times New Roman"/>
          <w:b/>
          <w:bCs/>
          <w:sz w:val="20"/>
          <w:szCs w:val="20"/>
        </w:rPr>
        <w:t xml:space="preserve">If </w:t>
      </w:r>
      <w:r>
        <w:rPr>
          <w:rFonts w:ascii="Times New Roman" w:hAnsi="Times New Roman" w:cs="Times New Roman"/>
          <w:b/>
          <w:bCs/>
          <w:sz w:val="20"/>
          <w:szCs w:val="20"/>
          <w:u w:val="single"/>
        </w:rPr>
        <w:t>both MN and SN</w:t>
      </w:r>
      <w:r>
        <w:rPr>
          <w:rFonts w:ascii="Times New Roman" w:hAnsi="Times New Roman" w:cs="Times New Roman"/>
          <w:b/>
          <w:bCs/>
          <w:sz w:val="20"/>
          <w:szCs w:val="20"/>
        </w:rPr>
        <w:t xml:space="preserve"> receive an </w:t>
      </w:r>
      <w:r>
        <w:rPr>
          <w:rFonts w:ascii="Times New Roman" w:hAnsi="Times New Roman" w:cs="Times New Roman"/>
          <w:b/>
          <w:bCs/>
          <w:sz w:val="20"/>
          <w:szCs w:val="20"/>
          <w:u w:val="single"/>
        </w:rPr>
        <w:t>m-based</w:t>
      </w:r>
      <w:r>
        <w:rPr>
          <w:rFonts w:ascii="Times New Roman" w:hAnsi="Times New Roman" w:cs="Times New Roman"/>
          <w:b/>
          <w:bCs/>
          <w:sz w:val="20"/>
          <w:szCs w:val="20"/>
        </w:rPr>
        <w:t xml:space="preserve"> QoE configuration, can the SN select the UEs, and configure them with measurements?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3F624CC9" w14:textId="77777777">
        <w:trPr>
          <w:trHeight w:val="325"/>
        </w:trPr>
        <w:tc>
          <w:tcPr>
            <w:tcW w:w="1378" w:type="dxa"/>
          </w:tcPr>
          <w:p w14:paraId="0A291608"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53EDE3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37E09FE1"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CB6926" w14:textId="77777777">
        <w:trPr>
          <w:trHeight w:val="357"/>
        </w:trPr>
        <w:tc>
          <w:tcPr>
            <w:tcW w:w="1378" w:type="dxa"/>
          </w:tcPr>
          <w:p w14:paraId="392890E3"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44B3472"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3427ED67"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should be coordinated between the MN and SN, and the decision is up to the MN.</w:t>
            </w:r>
          </w:p>
        </w:tc>
      </w:tr>
      <w:tr w:rsidR="008810FB" w14:paraId="0C824E50" w14:textId="77777777">
        <w:trPr>
          <w:trHeight w:val="342"/>
        </w:trPr>
        <w:tc>
          <w:tcPr>
            <w:tcW w:w="1378" w:type="dxa"/>
          </w:tcPr>
          <w:p w14:paraId="688DC3C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219B7AC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64C2494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 we commented above, only one entity should be responsible for UE selection, to avoid configuration duplication, and we think MN should take this responsibility.</w:t>
            </w:r>
          </w:p>
        </w:tc>
      </w:tr>
      <w:tr w:rsidR="008810FB" w14:paraId="215C3584" w14:textId="77777777">
        <w:trPr>
          <w:trHeight w:val="325"/>
        </w:trPr>
        <w:tc>
          <w:tcPr>
            <w:tcW w:w="1378" w:type="dxa"/>
          </w:tcPr>
          <w:p w14:paraId="7E030FE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685FDA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w:t>
            </w:r>
          </w:p>
        </w:tc>
        <w:tc>
          <w:tcPr>
            <w:tcW w:w="7200" w:type="dxa"/>
          </w:tcPr>
          <w:p w14:paraId="6D6045A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ased on which node </w:t>
            </w:r>
            <w:r>
              <w:rPr>
                <w:rFonts w:ascii="Times New Roman" w:eastAsiaTheme="minorEastAsia" w:hAnsi="Times New Roman" w:cs="Times New Roman"/>
                <w:sz w:val="20"/>
                <w:szCs w:val="20"/>
                <w:lang w:val="en-GB" w:eastAsia="zh-CN"/>
              </w:rPr>
              <w:t>initialled</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coordination.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firstly sends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QoE configuration for selected UE to MN, then </w:t>
            </w:r>
            <w:r>
              <w:rPr>
                <w:rFonts w:ascii="Times New Roman" w:eastAsiaTheme="minorEastAsia" w:hAnsi="Times New Roman" w:cs="Times New Roman"/>
                <w:sz w:val="20"/>
                <w:szCs w:val="20"/>
                <w:lang w:val="en-GB" w:eastAsia="zh-CN"/>
              </w:rPr>
              <w:t>the MN</w:t>
            </w:r>
            <w:r>
              <w:rPr>
                <w:rFonts w:ascii="Times New Roman" w:eastAsiaTheme="minorEastAsia" w:hAnsi="Times New Roman" w:cs="Times New Roman" w:hint="eastAsia"/>
                <w:sz w:val="20"/>
                <w:szCs w:val="20"/>
                <w:lang w:val="en-GB" w:eastAsia="zh-CN"/>
              </w:rPr>
              <w:t xml:space="preserve"> should follow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selection by SN. </w:t>
            </w: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lso the MN may reject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selection.</w:t>
            </w:r>
          </w:p>
        </w:tc>
      </w:tr>
      <w:tr w:rsidR="008810FB" w14:paraId="1065FD09" w14:textId="77777777">
        <w:trPr>
          <w:trHeight w:val="342"/>
        </w:trPr>
        <w:tc>
          <w:tcPr>
            <w:tcW w:w="1378" w:type="dxa"/>
          </w:tcPr>
          <w:p w14:paraId="697DBE8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803160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7200" w:type="dxa"/>
          </w:tcPr>
          <w:p w14:paraId="49704A2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Can the scenario “both MN and SN receive an m-based QoE config” be clarified? Which of the following cases are we discussing?</w:t>
            </w:r>
          </w:p>
          <w:p w14:paraId="73DA9F6C"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1:</w:t>
            </w:r>
            <w:r>
              <w:rPr>
                <w:rFonts w:ascii="Times New Roman" w:eastAsiaTheme="minorEastAsia" w:hAnsi="Times New Roman" w:cs="Times New Roman"/>
                <w:sz w:val="20"/>
                <w:szCs w:val="22"/>
              </w:rPr>
              <w:t xml:space="preserve"> MN first receives m-based QoE with QoE Reference 1 and then SN receives m-based QoE with the same QoE Reference 1</w:t>
            </w:r>
          </w:p>
          <w:p w14:paraId="2522F4D6"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2:</w:t>
            </w:r>
            <w:r>
              <w:rPr>
                <w:rFonts w:ascii="Times New Roman" w:eastAsiaTheme="minorEastAsia" w:hAnsi="Times New Roman" w:cs="Times New Roman"/>
                <w:sz w:val="20"/>
                <w:szCs w:val="22"/>
              </w:rPr>
              <w:t xml:space="preserve"> SN first receives m-based QoE with QoE Reference 1 and then MN receives m-based QoE with the same QoE Reference 1</w:t>
            </w:r>
          </w:p>
          <w:p w14:paraId="4917804C"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b/>
                <w:bCs/>
                <w:sz w:val="20"/>
                <w:szCs w:val="22"/>
              </w:rPr>
              <w:t>Case 3:</w:t>
            </w:r>
            <w:r>
              <w:rPr>
                <w:rFonts w:ascii="Times New Roman" w:eastAsiaTheme="minorEastAsia" w:hAnsi="Times New Roman" w:cs="Times New Roman"/>
                <w:sz w:val="20"/>
                <w:szCs w:val="22"/>
              </w:rPr>
              <w:t xml:space="preserve"> Both MN and SN receives m-based with QoE Reference 1 simultaneously</w:t>
            </w:r>
          </w:p>
          <w:p w14:paraId="25A1B32F"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 xml:space="preserve">Irrespective of any of the above cases, </w:t>
            </w:r>
          </w:p>
          <w:p w14:paraId="4763E82B" w14:textId="77777777" w:rsidR="008810FB" w:rsidRDefault="003F7AF3">
            <w:pPr>
              <w:pStyle w:val="ListParagraph"/>
              <w:numPr>
                <w:ilvl w:val="0"/>
                <w:numId w:val="7"/>
              </w:numPr>
              <w:spacing w:before="120" w:after="0"/>
              <w:rPr>
                <w:rFonts w:ascii="Times New Roman" w:eastAsiaTheme="minorEastAsia" w:hAnsi="Times New Roman" w:cs="Times New Roman"/>
                <w:b/>
                <w:bCs/>
              </w:rPr>
            </w:pPr>
            <w:r>
              <w:rPr>
                <w:rFonts w:ascii="Times New Roman" w:eastAsiaTheme="minorEastAsia" w:hAnsi="Times New Roman" w:cs="Times New Roman"/>
                <w:b/>
                <w:bCs/>
              </w:rPr>
              <w:t>MN-SN coordination is needed to ensure a m-based QoE is configured only once at the UE and final decision can be up to MN</w:t>
            </w:r>
          </w:p>
          <w:p w14:paraId="5ECE8825" w14:textId="77777777" w:rsidR="008810FB" w:rsidRDefault="003F7AF3">
            <w:pPr>
              <w:pStyle w:val="ListParagraph"/>
              <w:numPr>
                <w:ilvl w:val="0"/>
                <w:numId w:val="7"/>
              </w:numPr>
              <w:spacing w:before="120" w:after="0"/>
              <w:rPr>
                <w:rFonts w:ascii="Times New Roman" w:eastAsiaTheme="minorEastAsia" w:hAnsi="Times New Roman" w:cs="Times New Roman"/>
                <w:b/>
                <w:bCs/>
              </w:rPr>
            </w:pPr>
            <w:r>
              <w:rPr>
                <w:rFonts w:ascii="Times New Roman" w:eastAsiaTheme="minorEastAsia" w:hAnsi="Times New Roman" w:cs="Times New Roman"/>
                <w:b/>
                <w:bCs/>
              </w:rPr>
              <w:t>The node receiving the m-based QoE performs the UE selection</w:t>
            </w:r>
          </w:p>
          <w:p w14:paraId="3449DB1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2"/>
              </w:rPr>
              <w:t>Similar clarification needed on “configure them with measurements” as in Q2-1 (as in which option is this being referred to)</w:t>
            </w:r>
          </w:p>
        </w:tc>
      </w:tr>
      <w:tr w:rsidR="008810FB" w14:paraId="50DFF785" w14:textId="77777777">
        <w:trPr>
          <w:trHeight w:val="325"/>
        </w:trPr>
        <w:tc>
          <w:tcPr>
            <w:tcW w:w="1378" w:type="dxa"/>
          </w:tcPr>
          <w:p w14:paraId="33A8FE4A"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7530235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52C7AA6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final decision should be decided by MN. For example, </w:t>
            </w:r>
            <w:r>
              <w:rPr>
                <w:rFonts w:ascii="Times New Roman" w:eastAsiaTheme="minorEastAsia" w:hAnsi="Times New Roman" w:cs="Times New Roman"/>
                <w:sz w:val="20"/>
                <w:szCs w:val="20"/>
                <w:lang w:eastAsia="zh-CN"/>
              </w:rPr>
              <w:t>SN can send QoE measurement request info to MN. MN responds SN whether QoE measurement is allowed.</w:t>
            </w:r>
          </w:p>
        </w:tc>
      </w:tr>
      <w:tr w:rsidR="008810FB" w14:paraId="24BE1FAE" w14:textId="77777777">
        <w:trPr>
          <w:trHeight w:val="342"/>
        </w:trPr>
        <w:tc>
          <w:tcPr>
            <w:tcW w:w="1378" w:type="dxa"/>
          </w:tcPr>
          <w:p w14:paraId="3B27909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77E1F00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Pr>
          <w:p w14:paraId="31C319B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Anyway coordination is needed between MN and SN to check whether both MN and SN has received the same QoE configuration. If it is the case, MN is already aware of the configuration and can select UEs and send the configuration to UE. </w:t>
            </w:r>
          </w:p>
        </w:tc>
      </w:tr>
      <w:tr w:rsidR="008810FB" w14:paraId="5D9D30EC" w14:textId="77777777">
        <w:trPr>
          <w:trHeight w:val="342"/>
        </w:trPr>
        <w:tc>
          <w:tcPr>
            <w:tcW w:w="1378" w:type="dxa"/>
          </w:tcPr>
          <w:p w14:paraId="2CD2116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1F2894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2089B2C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his question misleads a bit, we think anyway MN and SN should coordinate, then MN to decide which node to configure.</w:t>
            </w:r>
          </w:p>
        </w:tc>
      </w:tr>
      <w:tr w:rsidR="008810FB" w14:paraId="1379BBC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26AAE64"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01B1184F"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01FE4A6C"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also agree with QC that the scenario is not clear</w:t>
            </w:r>
          </w:p>
        </w:tc>
      </w:tr>
      <w:tr w:rsidR="008810FB" w14:paraId="05121C44" w14:textId="77777777">
        <w:trPr>
          <w:trHeight w:val="365"/>
        </w:trPr>
        <w:tc>
          <w:tcPr>
            <w:tcW w:w="1378" w:type="dxa"/>
            <w:tcBorders>
              <w:top w:val="single" w:sz="4" w:space="0" w:color="auto"/>
              <w:left w:val="single" w:sz="4" w:space="0" w:color="auto"/>
              <w:bottom w:val="single" w:sz="4" w:space="0" w:color="auto"/>
              <w:right w:val="single" w:sz="4" w:space="0" w:color="auto"/>
            </w:tcBorders>
          </w:tcPr>
          <w:p w14:paraId="4026522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192B6F1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3251BED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SN select the UEs first, and send the coordination information to MN, MN make the final decision for the UE selection and MN send the configuration to UE.</w:t>
            </w:r>
          </w:p>
        </w:tc>
      </w:tr>
      <w:tr w:rsidR="009D471B" w14:paraId="226358D0"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22D302FE"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4269D26" w14:textId="77777777" w:rsidR="009D471B" w:rsidRPr="00CE6C5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Borders>
              <w:top w:val="single" w:sz="4" w:space="0" w:color="auto"/>
              <w:left w:val="single" w:sz="4" w:space="0" w:color="auto"/>
              <w:bottom w:val="single" w:sz="4" w:space="0" w:color="auto"/>
              <w:right w:val="single" w:sz="4" w:space="0" w:color="auto"/>
            </w:tcBorders>
          </w:tcPr>
          <w:p w14:paraId="28676A3C" w14:textId="77777777" w:rsidR="009D471B" w:rsidRPr="00CE6C5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ine with proposals by QC. The node receiving the m-based QoE performs the UE selection.</w:t>
            </w:r>
          </w:p>
        </w:tc>
      </w:tr>
      <w:tr w:rsidR="008810FB" w14:paraId="3177D0B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52F54F" w14:textId="77777777" w:rsidR="008810FB" w:rsidRPr="009D471B" w:rsidRDefault="008810FB">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0199B81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136E18F"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38A756C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C8ED06F"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DDF1C9C"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3596C95"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16CD3BB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6B941E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20F496"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753D989" w14:textId="77777777" w:rsidR="008810FB" w:rsidRDefault="008810FB">
            <w:pPr>
              <w:spacing w:before="120" w:after="0"/>
              <w:rPr>
                <w:rFonts w:ascii="Times New Roman" w:hAnsi="Times New Roman" w:cs="Times New Roman"/>
                <w:sz w:val="20"/>
                <w:szCs w:val="20"/>
                <w:lang w:val="en-GB"/>
              </w:rPr>
            </w:pPr>
          </w:p>
        </w:tc>
      </w:tr>
      <w:tr w:rsidR="008810FB" w14:paraId="530FDD2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A78478C"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535DB9EC"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4DB27A6F" w14:textId="77777777" w:rsidR="008810FB" w:rsidRDefault="008810FB">
            <w:pPr>
              <w:spacing w:before="120" w:after="0"/>
              <w:rPr>
                <w:rFonts w:ascii="Times New Roman" w:hAnsi="Times New Roman" w:cs="Times New Roman"/>
                <w:sz w:val="20"/>
                <w:szCs w:val="20"/>
                <w:lang w:val="en-GB"/>
              </w:rPr>
            </w:pPr>
          </w:p>
        </w:tc>
      </w:tr>
    </w:tbl>
    <w:p w14:paraId="15087A2D" w14:textId="6A5DF71F" w:rsidR="00661E63" w:rsidRPr="00661E63" w:rsidRDefault="00661E63">
      <w:pPr>
        <w:spacing w:before="120" w:after="0"/>
        <w:ind w:left="-90"/>
        <w:rPr>
          <w:rFonts w:ascii="Times New Roman" w:hAnsi="Times New Roman" w:cs="Times New Roman"/>
          <w:b/>
          <w:bCs/>
          <w:color w:val="0070C0"/>
          <w:sz w:val="20"/>
          <w:szCs w:val="22"/>
        </w:rPr>
      </w:pPr>
      <w:r w:rsidRPr="00661E63">
        <w:rPr>
          <w:rFonts w:ascii="Times New Roman" w:hAnsi="Times New Roman" w:cs="Times New Roman"/>
          <w:b/>
          <w:bCs/>
          <w:color w:val="0070C0"/>
          <w:sz w:val="20"/>
          <w:szCs w:val="22"/>
        </w:rPr>
        <w:t xml:space="preserve">Whether, if both MN and SN receive an m-based QoE configuration, </w:t>
      </w:r>
      <w:r w:rsidR="00AA3462">
        <w:rPr>
          <w:rFonts w:ascii="Times New Roman" w:hAnsi="Times New Roman" w:cs="Times New Roman"/>
          <w:b/>
          <w:bCs/>
          <w:color w:val="0070C0"/>
          <w:sz w:val="20"/>
          <w:szCs w:val="22"/>
        </w:rPr>
        <w:t xml:space="preserve">based </w:t>
      </w:r>
      <w:r w:rsidR="008100B7">
        <w:rPr>
          <w:rFonts w:ascii="Times New Roman" w:hAnsi="Times New Roman" w:cs="Times New Roman"/>
          <w:b/>
          <w:bCs/>
          <w:color w:val="0070C0"/>
          <w:sz w:val="20"/>
          <w:szCs w:val="22"/>
        </w:rPr>
        <w:t>o</w:t>
      </w:r>
      <w:r w:rsidR="00AA3462">
        <w:rPr>
          <w:rFonts w:ascii="Times New Roman" w:hAnsi="Times New Roman" w:cs="Times New Roman"/>
          <w:b/>
          <w:bCs/>
          <w:color w:val="0070C0"/>
          <w:sz w:val="20"/>
          <w:szCs w:val="22"/>
        </w:rPr>
        <w:t>n the</w:t>
      </w:r>
      <w:r w:rsidR="008100B7">
        <w:rPr>
          <w:rFonts w:ascii="Times New Roman" w:hAnsi="Times New Roman" w:cs="Times New Roman"/>
          <w:b/>
          <w:bCs/>
          <w:color w:val="0070C0"/>
          <w:sz w:val="20"/>
          <w:szCs w:val="22"/>
        </w:rPr>
        <w:t xml:space="preserve"> outcome of</w:t>
      </w:r>
      <w:r w:rsidR="00AA3462">
        <w:rPr>
          <w:rFonts w:ascii="Times New Roman" w:hAnsi="Times New Roman" w:cs="Times New Roman"/>
          <w:b/>
          <w:bCs/>
          <w:color w:val="0070C0"/>
          <w:sz w:val="20"/>
          <w:szCs w:val="22"/>
        </w:rPr>
        <w:t xml:space="preserve"> MN-SN coordination, the </w:t>
      </w:r>
      <w:r w:rsidRPr="00661E63">
        <w:rPr>
          <w:rFonts w:ascii="Times New Roman" w:hAnsi="Times New Roman" w:cs="Times New Roman"/>
          <w:b/>
          <w:bCs/>
          <w:color w:val="0070C0"/>
          <w:sz w:val="20"/>
          <w:szCs w:val="22"/>
        </w:rPr>
        <w:t xml:space="preserve">SN </w:t>
      </w:r>
      <w:r w:rsidR="00AA3462">
        <w:rPr>
          <w:rFonts w:ascii="Times New Roman" w:hAnsi="Times New Roman" w:cs="Times New Roman"/>
          <w:b/>
          <w:bCs/>
          <w:color w:val="0070C0"/>
          <w:sz w:val="20"/>
          <w:szCs w:val="22"/>
        </w:rPr>
        <w:t xml:space="preserve">can </w:t>
      </w:r>
      <w:r w:rsidRPr="00661E63">
        <w:rPr>
          <w:rFonts w:ascii="Times New Roman" w:hAnsi="Times New Roman" w:cs="Times New Roman"/>
          <w:b/>
          <w:bCs/>
          <w:color w:val="0070C0"/>
          <w:sz w:val="20"/>
          <w:szCs w:val="22"/>
        </w:rPr>
        <w:t>select the UEs, and configure them with measurements</w:t>
      </w:r>
      <w:r w:rsidR="00AA3462">
        <w:rPr>
          <w:rFonts w:ascii="Times New Roman" w:hAnsi="Times New Roman" w:cs="Times New Roman"/>
          <w:b/>
          <w:bCs/>
          <w:color w:val="0070C0"/>
          <w:sz w:val="20"/>
          <w:szCs w:val="22"/>
        </w:rPr>
        <w:t>.</w:t>
      </w:r>
    </w:p>
    <w:p w14:paraId="02CB27FD" w14:textId="77777777" w:rsidR="008810FB" w:rsidRDefault="003F7AF3">
      <w:pPr>
        <w:pStyle w:val="Heading3"/>
        <w:spacing w:after="0"/>
        <w:rPr>
          <w:rFonts w:ascii="Arial" w:hAnsi="Arial" w:cs="Arial"/>
        </w:rPr>
      </w:pPr>
      <w:r>
        <w:rPr>
          <w:rFonts w:ascii="Arial" w:hAnsi="Arial" w:cs="Arial"/>
        </w:rPr>
        <w:t>QoE measurement reporting</w:t>
      </w:r>
    </w:p>
    <w:p w14:paraId="46C9BAF9"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Q3-1: </w:t>
      </w:r>
      <w:r>
        <w:rPr>
          <w:rFonts w:ascii="Times New Roman" w:hAnsi="Times New Roman" w:cs="Times New Roman"/>
          <w:b/>
          <w:bCs/>
          <w:sz w:val="20"/>
          <w:szCs w:val="20"/>
        </w:rPr>
        <w:t>With respect to switching of the reporting leg, do you agree that:</w:t>
      </w:r>
    </w:p>
    <w:p w14:paraId="4416C6CA" w14:textId="77777777" w:rsidR="008810FB" w:rsidRDefault="003F7AF3">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For RLF, the UE switches the reporting leg based on configuration received from the network?</w:t>
      </w:r>
    </w:p>
    <w:p w14:paraId="38D5062E" w14:textId="77777777" w:rsidR="008810FB" w:rsidRDefault="003F7AF3">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For other leg-switching scenarios, the network sends the command to the UE via RRC to switch the reporting leg?</w:t>
      </w:r>
    </w:p>
    <w:p w14:paraId="5F5AE189" w14:textId="77777777" w:rsidR="008810FB" w:rsidRDefault="003F7AF3">
      <w:pPr>
        <w:pStyle w:val="ListParagraph"/>
        <w:numPr>
          <w:ilvl w:val="0"/>
          <w:numId w:val="8"/>
        </w:numPr>
        <w:spacing w:before="120" w:after="0"/>
        <w:jc w:val="left"/>
        <w:rPr>
          <w:rFonts w:ascii="Times New Roman" w:hAnsi="Times New Roman" w:cs="Times New Roman"/>
          <w:b/>
          <w:bCs/>
        </w:rPr>
      </w:pPr>
      <w:r>
        <w:rPr>
          <w:rFonts w:ascii="Times New Roman" w:hAnsi="Times New Roman" w:cs="Times New Roman"/>
          <w:b/>
          <w:bCs/>
        </w:rPr>
        <w:t>RAN3 should discuss which node can command the UE to switch the reporting leg?</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50807D91" w14:textId="77777777">
        <w:trPr>
          <w:trHeight w:val="325"/>
        </w:trPr>
        <w:tc>
          <w:tcPr>
            <w:tcW w:w="1378" w:type="dxa"/>
          </w:tcPr>
          <w:p w14:paraId="3C8B21E8"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40A092A7"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B26F48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0834CA2" w14:textId="77777777">
        <w:trPr>
          <w:trHeight w:val="357"/>
        </w:trPr>
        <w:tc>
          <w:tcPr>
            <w:tcW w:w="1378" w:type="dxa"/>
          </w:tcPr>
          <w:p w14:paraId="6C5E144A"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703D5B4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7200" w:type="dxa"/>
          </w:tcPr>
          <w:p w14:paraId="7CE4CC6C" w14:textId="77777777" w:rsidR="008810FB" w:rsidRDefault="008810FB">
            <w:pPr>
              <w:spacing w:before="120" w:after="0"/>
              <w:rPr>
                <w:rFonts w:ascii="Times New Roman" w:hAnsi="Times New Roman" w:cs="Times New Roman"/>
                <w:sz w:val="20"/>
                <w:szCs w:val="20"/>
                <w:lang w:val="en-GB"/>
              </w:rPr>
            </w:pPr>
          </w:p>
        </w:tc>
      </w:tr>
      <w:tr w:rsidR="008810FB" w14:paraId="39063D06" w14:textId="77777777">
        <w:trPr>
          <w:trHeight w:val="342"/>
        </w:trPr>
        <w:tc>
          <w:tcPr>
            <w:tcW w:w="1378" w:type="dxa"/>
          </w:tcPr>
          <w:p w14:paraId="781FD75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7895F60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to all with rewording comment</w:t>
            </w:r>
          </w:p>
        </w:tc>
        <w:tc>
          <w:tcPr>
            <w:tcW w:w="7200" w:type="dxa"/>
          </w:tcPr>
          <w:p w14:paraId="2C0B81D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b), we think it is also possible to use lower layer signalling to switch the leg, which should be discussed in RAN2. And we suggest to reword it like this “</w:t>
            </w:r>
            <w:r>
              <w:rPr>
                <w:rFonts w:ascii="Times New Roman" w:eastAsiaTheme="minorEastAsia" w:hAnsi="Times New Roman" w:cs="Times New Roman"/>
                <w:b/>
                <w:sz w:val="20"/>
                <w:szCs w:val="20"/>
                <w:lang w:val="en-GB" w:eastAsia="zh-CN"/>
              </w:rPr>
              <w:t xml:space="preserve">For other leg-switching scenarios, the network sends the command to the UE </w:t>
            </w:r>
            <w:r>
              <w:rPr>
                <w:rFonts w:ascii="Times New Roman" w:eastAsiaTheme="minorEastAsia" w:hAnsi="Times New Roman" w:cs="Times New Roman"/>
                <w:b/>
                <w:strike/>
                <w:sz w:val="20"/>
                <w:szCs w:val="20"/>
                <w:highlight w:val="yellow"/>
                <w:lang w:val="en-GB" w:eastAsia="zh-CN"/>
              </w:rPr>
              <w:t>via RRC</w:t>
            </w:r>
            <w:r>
              <w:rPr>
                <w:rFonts w:ascii="Times New Roman" w:eastAsiaTheme="minorEastAsia" w:hAnsi="Times New Roman" w:cs="Times New Roman"/>
                <w:b/>
                <w:sz w:val="20"/>
                <w:szCs w:val="20"/>
                <w:lang w:val="en-GB" w:eastAsia="zh-CN"/>
              </w:rPr>
              <w:t xml:space="preserve"> to switch the reporting leg, FFS on via RRC or lower layer signalling</w:t>
            </w:r>
            <w:r>
              <w:rPr>
                <w:rFonts w:ascii="Times New Roman" w:eastAsiaTheme="minorEastAsia" w:hAnsi="Times New Roman" w:cs="Times New Roman"/>
                <w:sz w:val="20"/>
                <w:szCs w:val="20"/>
                <w:lang w:val="en-GB" w:eastAsia="zh-CN"/>
              </w:rPr>
              <w:t>”</w:t>
            </w:r>
          </w:p>
          <w:p w14:paraId="5082051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 we think MN should be responsible for sending the command to UE</w:t>
            </w:r>
          </w:p>
          <w:p w14:paraId="2709AB88"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732B3B38" w14:textId="77777777">
        <w:trPr>
          <w:trHeight w:val="325"/>
        </w:trPr>
        <w:tc>
          <w:tcPr>
            <w:tcW w:w="1378" w:type="dxa"/>
          </w:tcPr>
          <w:p w14:paraId="3F5FE6F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D2D99F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to all</w:t>
            </w:r>
          </w:p>
        </w:tc>
        <w:tc>
          <w:tcPr>
            <w:tcW w:w="7200" w:type="dxa"/>
          </w:tcPr>
          <w:p w14:paraId="397907C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c), when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SN is </w:t>
            </w:r>
            <w:r>
              <w:rPr>
                <w:rFonts w:ascii="Times New Roman" w:eastAsiaTheme="minorEastAsia" w:hAnsi="Times New Roman" w:cs="Times New Roman"/>
                <w:sz w:val="20"/>
                <w:szCs w:val="20"/>
                <w:lang w:val="en-GB" w:eastAsia="zh-CN"/>
              </w:rPr>
              <w:t>overload,</w:t>
            </w:r>
            <w:r>
              <w:rPr>
                <w:rFonts w:ascii="Times New Roman" w:eastAsiaTheme="minorEastAsia" w:hAnsi="Times New Roman" w:cs="Times New Roman" w:hint="eastAsia"/>
                <w:sz w:val="20"/>
                <w:szCs w:val="20"/>
                <w:lang w:val="en-GB" w:eastAsia="zh-CN"/>
              </w:rPr>
              <w:t xml:space="preserve"> it also can send command to UE for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leg switching.</w:t>
            </w:r>
          </w:p>
        </w:tc>
      </w:tr>
      <w:tr w:rsidR="008810FB" w14:paraId="4378D179" w14:textId="77777777">
        <w:trPr>
          <w:trHeight w:val="342"/>
        </w:trPr>
        <w:tc>
          <w:tcPr>
            <w:tcW w:w="1378" w:type="dxa"/>
          </w:tcPr>
          <w:p w14:paraId="5C8BD7D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BE34C28" w14:textId="77777777" w:rsidR="008810FB" w:rsidRPr="001F6CC9" w:rsidRDefault="003F7AF3">
            <w:pPr>
              <w:spacing w:before="120" w:after="0"/>
              <w:rPr>
                <w:rFonts w:ascii="Times New Roman" w:eastAsiaTheme="minorEastAsia" w:hAnsi="Times New Roman" w:cs="Times New Roman"/>
                <w:sz w:val="20"/>
                <w:szCs w:val="20"/>
              </w:rPr>
            </w:pPr>
            <w:r w:rsidRPr="001F6CC9">
              <w:rPr>
                <w:rFonts w:ascii="Times New Roman" w:eastAsiaTheme="minorEastAsia" w:hAnsi="Times New Roman" w:cs="Times New Roman"/>
                <w:sz w:val="20"/>
                <w:szCs w:val="20"/>
              </w:rPr>
              <w:t>a, b -No (Implicit indication via the SRB setup for QoE reporting is sufficient)</w:t>
            </w:r>
          </w:p>
          <w:p w14:paraId="59ED959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Pr>
          <w:p w14:paraId="0A8F990C"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Suppose RAN2 defines SRB5 (SN terminated SCG bearer) for QoE reporting over SN.</w:t>
            </w:r>
          </w:p>
          <w:p w14:paraId="41EF0BC5" w14:textId="77777777" w:rsidR="008810FB" w:rsidRDefault="003F7AF3">
            <w:pPr>
              <w:spacing w:before="120" w:after="0"/>
              <w:rPr>
                <w:rFonts w:ascii="Times New Roman" w:eastAsiaTheme="minorEastAsia" w:hAnsi="Times New Roman" w:cs="Times New Roman"/>
                <w:color w:val="FF0000"/>
                <w:sz w:val="20"/>
                <w:szCs w:val="20"/>
                <w:lang w:val="en-GB" w:eastAsia="zh-CN"/>
              </w:rPr>
            </w:pPr>
            <w:r>
              <w:rPr>
                <w:rFonts w:ascii="Times New Roman" w:eastAsiaTheme="minorEastAsia" w:hAnsi="Times New Roman" w:cs="Times New Roman"/>
                <w:color w:val="FF0000"/>
                <w:sz w:val="20"/>
                <w:szCs w:val="20"/>
                <w:lang w:val="en-GB" w:eastAsia="zh-CN"/>
              </w:rPr>
              <w:t>Is there a need to setup SRB4 and SRB5 at the same time?</w:t>
            </w:r>
          </w:p>
          <w:p w14:paraId="0AA35711" w14:textId="77777777" w:rsidR="008810FB" w:rsidRDefault="003F7AF3">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t>If yes, an explicit indication from network is needed to indicate the reporting leg</w:t>
            </w:r>
          </w:p>
          <w:p w14:paraId="374FDA21" w14:textId="77777777" w:rsidR="008810FB" w:rsidRDefault="003F7AF3">
            <w:pPr>
              <w:pStyle w:val="ListParagraph"/>
              <w:numPr>
                <w:ilvl w:val="0"/>
                <w:numId w:val="9"/>
              </w:numPr>
              <w:spacing w:before="120" w:after="0"/>
              <w:rPr>
                <w:rFonts w:ascii="Times New Roman" w:eastAsiaTheme="minorEastAsia" w:hAnsi="Times New Roman" w:cs="Times New Roman"/>
              </w:rPr>
            </w:pPr>
            <w:r>
              <w:rPr>
                <w:rFonts w:ascii="Times New Roman" w:eastAsiaTheme="minorEastAsia" w:hAnsi="Times New Roman" w:cs="Times New Roman"/>
              </w:rPr>
              <w:t>If no, the bearer which is setup can be an implicit indicator on the reporting leg (UE sends over SRB4 if SRB4 is setup and over SRB5 is SRB5 is setup)</w:t>
            </w:r>
          </w:p>
          <w:p w14:paraId="0D6FEB40" w14:textId="77777777" w:rsidR="008810FB" w:rsidRDefault="003F7AF3">
            <w:pPr>
              <w:spacing w:before="120" w:after="0"/>
              <w:rPr>
                <w:rFonts w:ascii="Times New Roman" w:eastAsiaTheme="minorEastAsia" w:hAnsi="Times New Roman" w:cs="Times New Roman"/>
                <w:b/>
                <w:bCs/>
                <w:sz w:val="20"/>
                <w:szCs w:val="22"/>
                <w:u w:val="single"/>
              </w:rPr>
            </w:pPr>
            <w:r>
              <w:rPr>
                <w:rFonts w:ascii="Times New Roman" w:eastAsiaTheme="minorEastAsia" w:hAnsi="Times New Roman" w:cs="Times New Roman"/>
                <w:b/>
                <w:bCs/>
                <w:sz w:val="20"/>
                <w:szCs w:val="22"/>
                <w:u w:val="single"/>
              </w:rPr>
              <w:t xml:space="preserve">We don’t see the need to setup SRB4 and SRB5 at the same time. </w:t>
            </w:r>
          </w:p>
          <w:p w14:paraId="19A09FC3" w14:textId="77777777" w:rsidR="008810FB" w:rsidRDefault="003F7AF3">
            <w:pPr>
              <w:pStyle w:val="ListParagraph"/>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If there is no MN overload, SRB4 can be setup</w:t>
            </w:r>
          </w:p>
          <w:p w14:paraId="421DC771" w14:textId="77777777" w:rsidR="008810FB" w:rsidRDefault="003F7AF3">
            <w:pPr>
              <w:pStyle w:val="ListParagraph"/>
              <w:numPr>
                <w:ilvl w:val="0"/>
                <w:numId w:val="10"/>
              </w:numPr>
              <w:spacing w:before="120" w:after="0"/>
              <w:rPr>
                <w:rFonts w:ascii="Times New Roman" w:eastAsiaTheme="minorEastAsia" w:hAnsi="Times New Roman" w:cs="Times New Roman"/>
              </w:rPr>
            </w:pPr>
            <w:r>
              <w:rPr>
                <w:rFonts w:ascii="Times New Roman" w:eastAsiaTheme="minorEastAsia" w:hAnsi="Times New Roman" w:cs="Times New Roman"/>
              </w:rPr>
              <w:t>If there is MN overload and no SN overload, SRB5 can be setup</w:t>
            </w:r>
          </w:p>
          <w:p w14:paraId="0B791E75"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Also, the difference between a) and b) is not clear</w:t>
            </w:r>
          </w:p>
          <w:p w14:paraId="40923144"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75A46943" w14:textId="77777777">
        <w:trPr>
          <w:trHeight w:val="325"/>
        </w:trPr>
        <w:tc>
          <w:tcPr>
            <w:tcW w:w="1378" w:type="dxa"/>
          </w:tcPr>
          <w:p w14:paraId="0D08EBA6"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2A44E6D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and c)</w:t>
            </w:r>
          </w:p>
        </w:tc>
        <w:tc>
          <w:tcPr>
            <w:tcW w:w="7200" w:type="dxa"/>
          </w:tcPr>
          <w:p w14:paraId="3059A8E4" w14:textId="3CBB2F3A" w:rsidR="008810FB" w:rsidRDefault="003F7AF3">
            <w:pPr>
              <w:pStyle w:val="ListParagraph"/>
              <w:numPr>
                <w:ilvl w:val="0"/>
                <w:numId w:val="11"/>
              </w:numPr>
              <w:spacing w:before="120" w:after="0"/>
              <w:rPr>
                <w:rFonts w:ascii="Times New Roman" w:eastAsiaTheme="minorEastAsia" w:hAnsi="Times New Roman" w:cs="Times New Roman"/>
              </w:rPr>
            </w:pPr>
            <w:r>
              <w:rPr>
                <w:rFonts w:ascii="Times New Roman" w:eastAsiaTheme="minorEastAsia" w:hAnsi="Times New Roman" w:cs="Times New Roman" w:hint="eastAsia"/>
              </w:rPr>
              <w:t>R</w:t>
            </w:r>
            <w:r>
              <w:rPr>
                <w:rFonts w:ascii="Times New Roman" w:eastAsiaTheme="minorEastAsia" w:hAnsi="Times New Roman" w:cs="Times New Roman"/>
              </w:rPr>
              <w:t xml:space="preserve">LF needs to be </w:t>
            </w:r>
            <w:r w:rsidR="005F5C39">
              <w:rPr>
                <w:rFonts w:ascii="Times New Roman" w:eastAsiaTheme="minorEastAsia" w:hAnsi="Times New Roman" w:cs="Times New Roman"/>
              </w:rPr>
              <w:t>c</w:t>
            </w:r>
            <w:r>
              <w:rPr>
                <w:rFonts w:ascii="Times New Roman" w:eastAsiaTheme="minorEastAsia" w:hAnsi="Times New Roman" w:cs="Times New Roman"/>
              </w:rPr>
              <w:t>larified. SCG failure or MCG failure. If MCG failure, RRC reestablishment will be performed. If SCG failure, UE will report SCG failure to MN. MN can decide to switch the reporting leg based on its implementation.</w:t>
            </w:r>
          </w:p>
          <w:p w14:paraId="7AB10F49" w14:textId="77777777" w:rsidR="008810FB" w:rsidRDefault="008810FB">
            <w:pPr>
              <w:spacing w:before="120" w:after="0"/>
              <w:rPr>
                <w:rFonts w:ascii="Times New Roman" w:eastAsia="Yu Mincho" w:hAnsi="Times New Roman" w:cs="Times New Roman"/>
              </w:rPr>
            </w:pPr>
          </w:p>
        </w:tc>
      </w:tr>
      <w:tr w:rsidR="008810FB" w14:paraId="2EB571F4" w14:textId="77777777">
        <w:trPr>
          <w:trHeight w:val="342"/>
        </w:trPr>
        <w:tc>
          <w:tcPr>
            <w:tcW w:w="1378" w:type="dxa"/>
          </w:tcPr>
          <w:p w14:paraId="3F67386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ZTE</w:t>
            </w:r>
          </w:p>
        </w:tc>
        <w:tc>
          <w:tcPr>
            <w:tcW w:w="1209" w:type="dxa"/>
          </w:tcPr>
          <w:p w14:paraId="75EAE9FB" w14:textId="77777777" w:rsidR="008810FB" w:rsidRDefault="003F7AF3">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needs clarification</w:t>
            </w:r>
          </w:p>
          <w:p w14:paraId="501F2EFB" w14:textId="77777777" w:rsidR="008810FB" w:rsidRDefault="003F7AF3">
            <w:pPr>
              <w:numPr>
                <w:ilvl w:val="0"/>
                <w:numId w:val="1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575A2322" w14:textId="77777777" w:rsidR="008810FB" w:rsidRDefault="003F7AF3">
            <w:pPr>
              <w:numPr>
                <w:ilvl w:val="0"/>
                <w:numId w:val="12"/>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 Yes</w:t>
            </w:r>
          </w:p>
        </w:tc>
        <w:tc>
          <w:tcPr>
            <w:tcW w:w="7200" w:type="dxa"/>
          </w:tcPr>
          <w:p w14:paraId="3802A1EC" w14:textId="77777777" w:rsidR="008810FB" w:rsidRDefault="003F7AF3">
            <w:pPr>
              <w:numPr>
                <w:ilvl w:val="0"/>
                <w:numId w:val="13"/>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Not sure what the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configuration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stands for. Maybe more clarification is needed.</w:t>
            </w:r>
          </w:p>
          <w:p w14:paraId="580ABB04" w14:textId="77777777" w:rsidR="008810FB" w:rsidRDefault="008810FB">
            <w:pPr>
              <w:spacing w:before="120" w:after="0"/>
              <w:rPr>
                <w:rFonts w:ascii="Times New Roman" w:eastAsiaTheme="minorEastAsia" w:hAnsi="Times New Roman" w:cs="Times New Roman"/>
                <w:sz w:val="20"/>
                <w:szCs w:val="20"/>
                <w:lang w:eastAsia="zh-CN"/>
              </w:rPr>
            </w:pPr>
          </w:p>
        </w:tc>
      </w:tr>
      <w:tr w:rsidR="008810FB" w14:paraId="1D25A60E" w14:textId="77777777">
        <w:trPr>
          <w:trHeight w:val="342"/>
        </w:trPr>
        <w:tc>
          <w:tcPr>
            <w:tcW w:w="1378" w:type="dxa"/>
          </w:tcPr>
          <w:p w14:paraId="01E16DE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40418BE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w:t>
            </w:r>
            <w:r>
              <w:rPr>
                <w:rFonts w:ascii="Times New Roman" w:eastAsiaTheme="minorEastAsia" w:hAnsi="Times New Roman" w:cs="Times New Roman"/>
                <w:sz w:val="20"/>
                <w:szCs w:val="20"/>
                <w:lang w:val="en-GB" w:eastAsia="zh-CN"/>
              </w:rPr>
              <w:t xml:space="preserve"> with comments</w:t>
            </w:r>
          </w:p>
        </w:tc>
        <w:tc>
          <w:tcPr>
            <w:tcW w:w="7200" w:type="dxa"/>
          </w:tcPr>
          <w:p w14:paraId="2DA1397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a), for the RLF of SCG or MCG, we think the UE will wait the configuration from the network.</w:t>
            </w:r>
          </w:p>
        </w:tc>
      </w:tr>
      <w:tr w:rsidR="008810FB" w14:paraId="6C9906E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860202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2ABF6E49"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0CF6BDBD"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a), we believe that loss of the MCG leg requires reestablishment? Loss of SCG leg would automatically lead to report over the MCG leg if SRB4 is configured?</w:t>
            </w:r>
          </w:p>
          <w:p w14:paraId="70D9BF9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Not clear whether further RAN3 discussion is beneficial while RAN2 is working on RAN3's agreement sent by LS (R3-225256): QoE reports can be transmitted to either MN or SN and the reporting leg (MCG or SCG) can be changed during the application session.</w:t>
            </w:r>
          </w:p>
        </w:tc>
      </w:tr>
      <w:tr w:rsidR="008810FB" w14:paraId="4D0B564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5ABE67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6EB4ABB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Yes to all</w:t>
            </w:r>
          </w:p>
        </w:tc>
        <w:tc>
          <w:tcPr>
            <w:tcW w:w="7200" w:type="dxa"/>
            <w:tcBorders>
              <w:top w:val="single" w:sz="4" w:space="0" w:color="auto"/>
              <w:left w:val="single" w:sz="4" w:space="0" w:color="auto"/>
              <w:bottom w:val="single" w:sz="4" w:space="0" w:color="auto"/>
              <w:right w:val="single" w:sz="4" w:space="0" w:color="auto"/>
            </w:tcBorders>
          </w:tcPr>
          <w:p w14:paraId="242C281B" w14:textId="77777777" w:rsidR="008810FB" w:rsidRDefault="008810FB">
            <w:pPr>
              <w:spacing w:before="120" w:after="0"/>
              <w:rPr>
                <w:rFonts w:ascii="Times New Roman" w:eastAsia="MS ??" w:hAnsi="Times New Roman" w:cs="Times New Roman"/>
                <w:sz w:val="20"/>
                <w:szCs w:val="20"/>
                <w:lang w:val="en-GB" w:eastAsia="zh-CN"/>
              </w:rPr>
            </w:pPr>
          </w:p>
        </w:tc>
      </w:tr>
      <w:tr w:rsidR="009D471B" w14:paraId="23802219"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46F97353"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6ACA2452"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A,c -ok</w:t>
            </w:r>
          </w:p>
        </w:tc>
        <w:tc>
          <w:tcPr>
            <w:tcW w:w="7200" w:type="dxa"/>
            <w:tcBorders>
              <w:top w:val="single" w:sz="4" w:space="0" w:color="auto"/>
              <w:left w:val="single" w:sz="4" w:space="0" w:color="auto"/>
              <w:bottom w:val="single" w:sz="4" w:space="0" w:color="auto"/>
              <w:right w:val="single" w:sz="4" w:space="0" w:color="auto"/>
            </w:tcBorders>
          </w:tcPr>
          <w:p w14:paraId="67E05094"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might be discussed and decided by RAN2.</w:t>
            </w:r>
          </w:p>
        </w:tc>
      </w:tr>
      <w:tr w:rsidR="008810FB" w14:paraId="0E3CB8E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5A8D4E1" w14:textId="77777777" w:rsidR="008810FB" w:rsidRPr="009D471B" w:rsidRDefault="008810FB">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38FB6D44"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09BA604" w14:textId="77777777" w:rsidR="008810FB" w:rsidRDefault="008810FB">
            <w:pPr>
              <w:spacing w:before="120" w:after="0"/>
              <w:rPr>
                <w:rFonts w:ascii="Times New Roman" w:eastAsiaTheme="minorEastAsia" w:hAnsi="Times New Roman" w:cs="Times New Roman"/>
                <w:sz w:val="20"/>
                <w:szCs w:val="20"/>
                <w:lang w:val="en-GB" w:eastAsia="zh-CN"/>
              </w:rPr>
            </w:pPr>
          </w:p>
        </w:tc>
      </w:tr>
      <w:tr w:rsidR="009D471B" w14:paraId="2235109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A8E3A67" w14:textId="77777777" w:rsidR="009D471B" w:rsidRDefault="009D471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D635C01" w14:textId="77777777" w:rsidR="009D471B" w:rsidRDefault="009D471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7CD835A" w14:textId="77777777" w:rsidR="009D471B" w:rsidRDefault="009D471B">
            <w:pPr>
              <w:spacing w:before="120" w:after="0"/>
              <w:rPr>
                <w:rFonts w:ascii="Times New Roman" w:eastAsiaTheme="minorEastAsia" w:hAnsi="Times New Roman" w:cs="Times New Roman"/>
                <w:sz w:val="20"/>
                <w:szCs w:val="20"/>
                <w:lang w:val="en-GB" w:eastAsia="zh-CN"/>
              </w:rPr>
            </w:pPr>
          </w:p>
        </w:tc>
      </w:tr>
      <w:tr w:rsidR="008810FB" w14:paraId="4812637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8CAB5FD"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3B4A724"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047CF011"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1A4485E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47DA06D"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28015D1"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6D1D0CF" w14:textId="77777777" w:rsidR="008810FB" w:rsidRDefault="008810FB">
            <w:pPr>
              <w:spacing w:before="120" w:after="0"/>
              <w:rPr>
                <w:rFonts w:ascii="Times New Roman" w:hAnsi="Times New Roman" w:cs="Times New Roman"/>
                <w:sz w:val="20"/>
                <w:szCs w:val="20"/>
                <w:lang w:val="en-GB"/>
              </w:rPr>
            </w:pPr>
          </w:p>
        </w:tc>
      </w:tr>
      <w:tr w:rsidR="008810FB" w14:paraId="56C0936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1D15CDC"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7E4466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B6CC4A4" w14:textId="77777777" w:rsidR="008810FB" w:rsidRDefault="008810FB">
            <w:pPr>
              <w:spacing w:before="120" w:after="0"/>
              <w:rPr>
                <w:rFonts w:ascii="Times New Roman" w:hAnsi="Times New Roman" w:cs="Times New Roman"/>
                <w:sz w:val="20"/>
                <w:szCs w:val="20"/>
                <w:lang w:val="en-GB"/>
              </w:rPr>
            </w:pPr>
          </w:p>
        </w:tc>
      </w:tr>
    </w:tbl>
    <w:p w14:paraId="3DAE4934" w14:textId="5D46E069" w:rsidR="00EB35D6" w:rsidRPr="00EB35D6" w:rsidRDefault="001F6FB1" w:rsidP="00EB35D6">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2</w:t>
      </w:r>
      <w:r w:rsidRPr="00EB35D6">
        <w:rPr>
          <w:rFonts w:ascii="Times New Roman" w:hAnsi="Times New Roman" w:cs="Times New Roman"/>
          <w:b/>
          <w:bCs/>
          <w:color w:val="00B050"/>
          <w:sz w:val="20"/>
          <w:szCs w:val="22"/>
        </w:rPr>
        <w:t>:</w:t>
      </w:r>
      <w:r w:rsidR="00EB35D6">
        <w:rPr>
          <w:rFonts w:ascii="Times New Roman" w:hAnsi="Times New Roman" w:cs="Times New Roman"/>
          <w:b/>
          <w:bCs/>
          <w:color w:val="00B050"/>
          <w:sz w:val="20"/>
          <w:szCs w:val="22"/>
        </w:rPr>
        <w:t xml:space="preserve"> </w:t>
      </w:r>
      <w:r w:rsidR="00EB35D6" w:rsidRPr="00EB35D6">
        <w:rPr>
          <w:rFonts w:ascii="Times New Roman" w:hAnsi="Times New Roman" w:cs="Times New Roman"/>
          <w:b/>
          <w:bCs/>
          <w:color w:val="00B050"/>
          <w:sz w:val="20"/>
          <w:szCs w:val="22"/>
        </w:rPr>
        <w:t>For RLF, the UE switches the reporting leg based on configuration received from the network.</w:t>
      </w:r>
    </w:p>
    <w:p w14:paraId="623B339E" w14:textId="66C087CA" w:rsidR="00EB35D6" w:rsidRPr="00EB35D6" w:rsidRDefault="00EB35D6" w:rsidP="00EB35D6">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3</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WA: For leg-switching scenarios other than the RLF, the network sends the command to the UE via RRC to switch the reporting leg.</w:t>
      </w:r>
    </w:p>
    <w:p w14:paraId="3F16A0B0" w14:textId="6C9E7951" w:rsidR="00EB35D6" w:rsidRPr="00EB35D6" w:rsidRDefault="00EB35D6" w:rsidP="00EB35D6">
      <w:pPr>
        <w:spacing w:before="120" w:after="0"/>
        <w:ind w:left="-90"/>
        <w:rPr>
          <w:rFonts w:ascii="Times New Roman" w:hAnsi="Times New Roman" w:cs="Times New Roman"/>
          <w:b/>
          <w:bCs/>
          <w:color w:val="00B050"/>
          <w:sz w:val="20"/>
          <w:szCs w:val="22"/>
        </w:rPr>
      </w:pPr>
      <w:r w:rsidRPr="00EB35D6">
        <w:rPr>
          <w:rFonts w:ascii="Times New Roman" w:hAnsi="Times New Roman" w:cs="Times New Roman"/>
          <w:b/>
          <w:bCs/>
          <w:color w:val="00B050"/>
          <w:sz w:val="20"/>
          <w:szCs w:val="22"/>
        </w:rPr>
        <w:t xml:space="preserve">Proposal </w:t>
      </w:r>
      <w:r w:rsidR="001F6CC9">
        <w:rPr>
          <w:rFonts w:ascii="Times New Roman" w:hAnsi="Times New Roman" w:cs="Times New Roman"/>
          <w:b/>
          <w:bCs/>
          <w:color w:val="00B050"/>
          <w:sz w:val="20"/>
          <w:szCs w:val="22"/>
        </w:rPr>
        <w:t>4</w:t>
      </w:r>
      <w:r w:rsidRPr="00EB35D6">
        <w:rPr>
          <w:rFonts w:ascii="Times New Roman" w:hAnsi="Times New Roman" w:cs="Times New Roman"/>
          <w:b/>
          <w:bCs/>
          <w:color w:val="00B050"/>
          <w:sz w:val="20"/>
          <w:szCs w:val="22"/>
        </w:rPr>
        <w:t>:</w:t>
      </w:r>
      <w:r>
        <w:rPr>
          <w:rFonts w:ascii="Times New Roman" w:hAnsi="Times New Roman" w:cs="Times New Roman"/>
          <w:b/>
          <w:bCs/>
          <w:color w:val="00B050"/>
          <w:sz w:val="20"/>
          <w:szCs w:val="22"/>
        </w:rPr>
        <w:t xml:space="preserve"> </w:t>
      </w:r>
      <w:r w:rsidRPr="00EB35D6">
        <w:rPr>
          <w:rFonts w:ascii="Times New Roman" w:hAnsi="Times New Roman" w:cs="Times New Roman"/>
          <w:b/>
          <w:bCs/>
          <w:color w:val="00B050"/>
          <w:sz w:val="20"/>
          <w:szCs w:val="22"/>
        </w:rPr>
        <w:t>RAN3 should discuss which node can command the UE to switch the reporting leg.</w:t>
      </w:r>
    </w:p>
    <w:p w14:paraId="22A4EF55"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Q3-2: </w:t>
      </w:r>
      <w:r>
        <w:rPr>
          <w:rFonts w:ascii="Times New Roman" w:hAnsi="Times New Roman" w:cs="Times New Roman"/>
          <w:b/>
          <w:bCs/>
          <w:sz w:val="20"/>
          <w:szCs w:val="20"/>
        </w:rPr>
        <w:t>With SN forwarding the QoE reports directly to the MCE, do you agree that:</w:t>
      </w:r>
    </w:p>
    <w:p w14:paraId="2C7E64C6" w14:textId="77777777" w:rsidR="008810FB" w:rsidRDefault="003F7AF3">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If QoE reports are received by the SN, SN can forward the QoE reports to MCE directly.</w:t>
      </w:r>
      <w:r>
        <w:rPr>
          <w:rFonts w:ascii="Times New Roman" w:hAnsi="Times New Roman" w:cs="Times New Roman"/>
          <w:b/>
          <w:bCs/>
        </w:rPr>
        <w:t>”?</w:t>
      </w:r>
    </w:p>
    <w:p w14:paraId="07ECD20E" w14:textId="77777777" w:rsidR="008810FB" w:rsidRDefault="003F7AF3">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The MN should indicate to the SN the QoE reference and the MCE IP address?</w:t>
      </w:r>
    </w:p>
    <w:p w14:paraId="23431990" w14:textId="77777777" w:rsidR="008810FB" w:rsidRDefault="003F7AF3">
      <w:pPr>
        <w:pStyle w:val="ListParagraph"/>
        <w:numPr>
          <w:ilvl w:val="0"/>
          <w:numId w:val="14"/>
        </w:numPr>
        <w:spacing w:before="120" w:after="0"/>
        <w:jc w:val="left"/>
        <w:rPr>
          <w:rFonts w:ascii="Times New Roman" w:hAnsi="Times New Roman" w:cs="Times New Roman"/>
          <w:b/>
          <w:bCs/>
        </w:rPr>
      </w:pPr>
      <w:r>
        <w:rPr>
          <w:rFonts w:ascii="Times New Roman" w:hAnsi="Times New Roman" w:cs="Times New Roman"/>
          <w:b/>
          <w:bCs/>
        </w:rPr>
        <w:t>The SN should at least indicate to the MN the session start and stop?</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B4F5106" w14:textId="77777777">
        <w:trPr>
          <w:trHeight w:val="325"/>
        </w:trPr>
        <w:tc>
          <w:tcPr>
            <w:tcW w:w="1378" w:type="dxa"/>
          </w:tcPr>
          <w:p w14:paraId="60385EC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D9A1F8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4CB9B486"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647458" w14:textId="77777777">
        <w:trPr>
          <w:trHeight w:val="357"/>
        </w:trPr>
        <w:tc>
          <w:tcPr>
            <w:tcW w:w="1378" w:type="dxa"/>
          </w:tcPr>
          <w:p w14:paraId="7CE40C92"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53C3427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 c): yes</w:t>
            </w:r>
          </w:p>
          <w:p w14:paraId="04DA7C39"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 see comment</w:t>
            </w:r>
          </w:p>
        </w:tc>
        <w:tc>
          <w:tcPr>
            <w:tcW w:w="7200" w:type="dxa"/>
          </w:tcPr>
          <w:p w14:paraId="4CDC3CC5"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b) If both MN and SN are in area scope for m-based QoE, the SN already knows the MCE IP, so no need to indicate the MCE IP in that case.</w:t>
            </w:r>
          </w:p>
          <w:p w14:paraId="381435E5"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c) The MN must be aware of when the session that it configured for the UE starts/stops, even if the reporting occurs via the SN.</w:t>
            </w:r>
          </w:p>
        </w:tc>
      </w:tr>
      <w:tr w:rsidR="008810FB" w14:paraId="1F7C8DBF" w14:textId="77777777">
        <w:trPr>
          <w:trHeight w:val="342"/>
        </w:trPr>
        <w:tc>
          <w:tcPr>
            <w:tcW w:w="1378" w:type="dxa"/>
          </w:tcPr>
          <w:p w14:paraId="7AD0523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Xiaomi </w:t>
            </w:r>
          </w:p>
        </w:tc>
        <w:tc>
          <w:tcPr>
            <w:tcW w:w="1209" w:type="dxa"/>
          </w:tcPr>
          <w:p w14:paraId="24EF3118" w14:textId="77777777" w:rsidR="008810FB" w:rsidRDefault="003F7AF3">
            <w:pPr>
              <w:spacing w:before="120" w:after="0"/>
              <w:rPr>
                <w:rFonts w:ascii="Times New Roman" w:hAnsi="Times New Roman" w:cs="Times New Roman"/>
                <w:bCs/>
                <w:sz w:val="20"/>
                <w:szCs w:val="20"/>
                <w:lang w:val="en-GB"/>
              </w:rPr>
            </w:pPr>
            <w:r>
              <w:rPr>
                <w:rFonts w:ascii="Times New Roman" w:hAnsi="Times New Roman" w:cs="Times New Roman"/>
                <w:bCs/>
                <w:sz w:val="20"/>
                <w:szCs w:val="20"/>
                <w:lang w:val="en-GB"/>
              </w:rPr>
              <w:t>a) yes</w:t>
            </w:r>
          </w:p>
          <w:p w14:paraId="073B3E3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Cs/>
                <w:sz w:val="20"/>
                <w:szCs w:val="20"/>
                <w:lang w:val="en-GB"/>
              </w:rPr>
              <w:t>b) and c): rewording</w:t>
            </w:r>
          </w:p>
        </w:tc>
        <w:tc>
          <w:tcPr>
            <w:tcW w:w="7200" w:type="dxa"/>
          </w:tcPr>
          <w:p w14:paraId="06CE64F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agree with E///’s observation, suggest rewording “</w:t>
            </w:r>
            <w:r>
              <w:rPr>
                <w:rFonts w:ascii="Times New Roman" w:eastAsiaTheme="minorEastAsia" w:hAnsi="Times New Roman" w:cs="Times New Roman"/>
                <w:b/>
                <w:sz w:val="20"/>
                <w:szCs w:val="20"/>
                <w:lang w:val="en-GB" w:eastAsia="zh-CN"/>
              </w:rPr>
              <w:t xml:space="preserve">The MN </w:t>
            </w:r>
            <w:r>
              <w:rPr>
                <w:rFonts w:ascii="Times New Roman" w:eastAsiaTheme="minorEastAsia" w:hAnsi="Times New Roman" w:cs="Times New Roman"/>
                <w:b/>
                <w:sz w:val="20"/>
                <w:szCs w:val="20"/>
                <w:highlight w:val="yellow"/>
                <w:lang w:val="en-GB" w:eastAsia="zh-CN"/>
              </w:rPr>
              <w:t xml:space="preserve">may </w:t>
            </w:r>
            <w:r>
              <w:rPr>
                <w:rFonts w:ascii="Times New Roman" w:eastAsiaTheme="minorEastAsia" w:hAnsi="Times New Roman" w:cs="Times New Roman"/>
                <w:b/>
                <w:strike/>
                <w:sz w:val="20"/>
                <w:szCs w:val="20"/>
                <w:highlight w:val="yellow"/>
                <w:lang w:val="en-GB" w:eastAsia="zh-CN"/>
              </w:rPr>
              <w:t>should</w:t>
            </w:r>
            <w:r>
              <w:rPr>
                <w:rFonts w:ascii="Times New Roman" w:eastAsiaTheme="minorEastAsia" w:hAnsi="Times New Roman" w:cs="Times New Roman"/>
                <w:b/>
                <w:sz w:val="20"/>
                <w:szCs w:val="20"/>
                <w:lang w:val="en-GB" w:eastAsia="zh-CN"/>
              </w:rPr>
              <w:t xml:space="preserve"> indicate to the SN the QoE reference and the MCE IP address</w:t>
            </w:r>
            <w:r>
              <w:rPr>
                <w:rFonts w:ascii="Times New Roman" w:eastAsiaTheme="minorEastAsia" w:hAnsi="Times New Roman" w:cs="Times New Roman"/>
                <w:sz w:val="20"/>
                <w:szCs w:val="20"/>
                <w:lang w:val="en-GB" w:eastAsia="zh-CN"/>
              </w:rPr>
              <w:t>”, which means this IE is optional.</w:t>
            </w:r>
          </w:p>
          <w:p w14:paraId="3703951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if both MN and SN can receive the session start and stop indication, there’s no need for additional indication transfer, suggest rewording “</w:t>
            </w:r>
            <w:r>
              <w:rPr>
                <w:rFonts w:ascii="Times New Roman" w:eastAsiaTheme="minorEastAsia" w:hAnsi="Times New Roman" w:cs="Times New Roman"/>
                <w:b/>
                <w:sz w:val="20"/>
                <w:szCs w:val="20"/>
                <w:lang w:val="en-GB" w:eastAsia="zh-CN"/>
              </w:rPr>
              <w:t xml:space="preserve">The SN </w:t>
            </w:r>
            <w:r>
              <w:rPr>
                <w:rFonts w:ascii="Times New Roman" w:eastAsiaTheme="minorEastAsia" w:hAnsi="Times New Roman" w:cs="Times New Roman"/>
                <w:b/>
                <w:sz w:val="20"/>
                <w:szCs w:val="20"/>
                <w:highlight w:val="yellow"/>
                <w:lang w:val="en-GB" w:eastAsia="zh-CN"/>
              </w:rPr>
              <w:t xml:space="preserve">may </w:t>
            </w:r>
            <w:r>
              <w:rPr>
                <w:rFonts w:ascii="Times New Roman" w:eastAsiaTheme="minorEastAsia" w:hAnsi="Times New Roman" w:cs="Times New Roman"/>
                <w:b/>
                <w:strike/>
                <w:sz w:val="20"/>
                <w:szCs w:val="20"/>
                <w:highlight w:val="yellow"/>
                <w:lang w:val="en-GB" w:eastAsia="zh-CN"/>
              </w:rPr>
              <w:t>should at least</w:t>
            </w:r>
            <w:r>
              <w:rPr>
                <w:rFonts w:ascii="Times New Roman" w:eastAsiaTheme="minorEastAsia" w:hAnsi="Times New Roman" w:cs="Times New Roman"/>
                <w:b/>
                <w:sz w:val="20"/>
                <w:szCs w:val="20"/>
                <w:lang w:val="en-GB" w:eastAsia="zh-CN"/>
              </w:rPr>
              <w:t xml:space="preserve"> indicate to the MN the session start and stop</w:t>
            </w:r>
            <w:r>
              <w:rPr>
                <w:rFonts w:ascii="Times New Roman" w:eastAsiaTheme="minorEastAsia" w:hAnsi="Times New Roman" w:cs="Times New Roman"/>
                <w:sz w:val="20"/>
                <w:szCs w:val="20"/>
                <w:lang w:val="en-GB" w:eastAsia="zh-CN"/>
              </w:rPr>
              <w:t>”</w:t>
            </w:r>
          </w:p>
        </w:tc>
      </w:tr>
      <w:tr w:rsidR="008810FB" w14:paraId="2B201CDF" w14:textId="77777777">
        <w:trPr>
          <w:trHeight w:val="325"/>
        </w:trPr>
        <w:tc>
          <w:tcPr>
            <w:tcW w:w="1378" w:type="dxa"/>
          </w:tcPr>
          <w:p w14:paraId="085696C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7CE41C1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Yes to all</w:t>
            </w:r>
          </w:p>
        </w:tc>
        <w:tc>
          <w:tcPr>
            <w:tcW w:w="7200" w:type="dxa"/>
          </w:tcPr>
          <w:p w14:paraId="5615EA6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in  my </w:t>
            </w:r>
            <w:r>
              <w:rPr>
                <w:rFonts w:ascii="Times New Roman" w:eastAsiaTheme="minorEastAsia" w:hAnsi="Times New Roman" w:cs="Times New Roman"/>
                <w:sz w:val="20"/>
                <w:szCs w:val="20"/>
                <w:lang w:val="en-GB" w:eastAsia="zh-CN"/>
              </w:rPr>
              <w:t>understanding</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case </w:t>
            </w:r>
            <w:r>
              <w:rPr>
                <w:rFonts w:ascii="Times New Roman" w:eastAsiaTheme="minorEastAsia" w:hAnsi="Times New Roman" w:cs="Times New Roman"/>
                <w:sz w:val="20"/>
                <w:szCs w:val="20"/>
                <w:lang w:val="en-GB" w:eastAsia="zh-CN"/>
              </w:rPr>
              <w:t>should</w:t>
            </w:r>
            <w:r>
              <w:rPr>
                <w:rFonts w:ascii="Times New Roman" w:eastAsiaTheme="minorEastAsia" w:hAnsi="Times New Roman" w:cs="Times New Roman" w:hint="eastAsia"/>
                <w:sz w:val="20"/>
                <w:szCs w:val="20"/>
                <w:lang w:val="en-GB" w:eastAsia="zh-CN"/>
              </w:rPr>
              <w:t xml:space="preserve"> be that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MN configures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QMC to UE and then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w:t>
            </w:r>
            <w:r>
              <w:rPr>
                <w:rFonts w:ascii="Times New Roman" w:eastAsiaTheme="minorEastAsia" w:hAnsi="Times New Roman" w:cs="Times New Roman"/>
                <w:sz w:val="20"/>
                <w:szCs w:val="20"/>
                <w:lang w:val="en-GB" w:eastAsia="zh-CN"/>
              </w:rPr>
              <w:t>received</w:t>
            </w:r>
            <w:r>
              <w:rPr>
                <w:rFonts w:ascii="Times New Roman" w:eastAsiaTheme="minorEastAsia" w:hAnsi="Times New Roman" w:cs="Times New Roman" w:hint="eastAsia"/>
                <w:sz w:val="20"/>
                <w:szCs w:val="20"/>
                <w:lang w:val="en-GB" w:eastAsia="zh-CN"/>
              </w:rPr>
              <w:t xml:space="preserve"> from SN, then SN can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to MCE.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 UE</w:t>
            </w:r>
            <w:r>
              <w:rPr>
                <w:rFonts w:ascii="Times New Roman" w:eastAsiaTheme="minorEastAsia" w:hAnsi="Times New Roman" w:cs="Times New Roman" w:hint="eastAsia"/>
                <w:sz w:val="20"/>
                <w:szCs w:val="20"/>
                <w:lang w:val="en-GB" w:eastAsia="zh-CN"/>
              </w:rPr>
              <w:t xml:space="preserve"> QMC is configured by SN,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MCE IP and QoE reference is not transferred.</w:t>
            </w:r>
          </w:p>
          <w:p w14:paraId="21CF5C9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c) agree with SS changing. </w:t>
            </w: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not MCT aligned configured,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indication is not needed</w:t>
            </w:r>
          </w:p>
        </w:tc>
      </w:tr>
      <w:tr w:rsidR="008810FB" w14:paraId="1B75DF4E" w14:textId="77777777">
        <w:trPr>
          <w:trHeight w:val="342"/>
        </w:trPr>
        <w:tc>
          <w:tcPr>
            <w:tcW w:w="1378" w:type="dxa"/>
          </w:tcPr>
          <w:p w14:paraId="0A004ED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48DD279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67444FA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Yes (but this is a different topic)</w:t>
            </w:r>
          </w:p>
        </w:tc>
        <w:tc>
          <w:tcPr>
            <w:tcW w:w="7200" w:type="dxa"/>
          </w:tcPr>
          <w:p w14:paraId="42B183C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 – </w:t>
            </w:r>
            <w:r>
              <w:rPr>
                <w:rFonts w:ascii="Times New Roman" w:eastAsiaTheme="minorEastAsia" w:hAnsi="Times New Roman" w:cs="Times New Roman"/>
                <w:b/>
                <w:bCs/>
                <w:sz w:val="20"/>
                <w:szCs w:val="20"/>
                <w:lang w:val="en-GB" w:eastAsia="zh-CN"/>
              </w:rPr>
              <w:t>Not clear on E///’s comment</w:t>
            </w:r>
            <w:r>
              <w:rPr>
                <w:rFonts w:ascii="Times New Roman" w:eastAsiaTheme="minorEastAsia" w:hAnsi="Times New Roman" w:cs="Times New Roman"/>
                <w:sz w:val="20"/>
                <w:szCs w:val="20"/>
                <w:lang w:val="en-GB" w:eastAsia="zh-CN"/>
              </w:rPr>
              <w:t xml:space="preserve"> – why does SN know the MCE IP address if MN and SN are both in area scope? (do you mean to say if the same m-based QoE is received on both MN and SN?)</w:t>
            </w:r>
          </w:p>
          <w:p w14:paraId="2F1A352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This is needed in order to align MDT measurements in MN with QoE start/stop or in case there is a HO (so that the QoE Measurement Status can be sent eventually to target MN). We think this is related to MDT-QoE alignment and mobility scenarios in NR-DC and nothing to do with SN forwarding the QoE reports directly to MCE, but we support this.</w:t>
            </w:r>
          </w:p>
        </w:tc>
      </w:tr>
      <w:tr w:rsidR="008810FB" w14:paraId="3450A977" w14:textId="77777777">
        <w:trPr>
          <w:trHeight w:val="325"/>
        </w:trPr>
        <w:tc>
          <w:tcPr>
            <w:tcW w:w="1378" w:type="dxa"/>
          </w:tcPr>
          <w:p w14:paraId="1404676A"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08000A3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for all</w:t>
            </w:r>
          </w:p>
        </w:tc>
        <w:tc>
          <w:tcPr>
            <w:tcW w:w="7200" w:type="dxa"/>
          </w:tcPr>
          <w:p w14:paraId="04942551" w14:textId="77777777" w:rsidR="008810FB" w:rsidRDefault="003F7AF3">
            <w:pPr>
              <w:spacing w:before="120" w:after="0"/>
              <w:rPr>
                <w:rFonts w:ascii="Times New Roman" w:eastAsiaTheme="minorEastAsia" w:hAnsi="Times New Roman" w:cs="Times New Roman"/>
              </w:rPr>
            </w:pPr>
            <w:r>
              <w:rPr>
                <w:rFonts w:ascii="Times New Roman" w:eastAsiaTheme="minorEastAsia" w:hAnsi="Times New Roman" w:cs="Times New Roman"/>
              </w:rPr>
              <w:t>a)&amp;b) The solution is not workable if MN and SN are connecting different with OAM.</w:t>
            </w:r>
          </w:p>
          <w:p w14:paraId="42683F49" w14:textId="77777777" w:rsidR="008810FB" w:rsidRDefault="003F7AF3">
            <w:pPr>
              <w:spacing w:before="120" w:after="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 depends on solutions for MDT alignment.</w:t>
            </w:r>
          </w:p>
        </w:tc>
      </w:tr>
      <w:tr w:rsidR="008810FB" w14:paraId="3523AE59" w14:textId="77777777">
        <w:trPr>
          <w:trHeight w:val="342"/>
        </w:trPr>
        <w:tc>
          <w:tcPr>
            <w:tcW w:w="1378" w:type="dxa"/>
          </w:tcPr>
          <w:p w14:paraId="1581FAD2"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368013CB" w14:textId="77777777" w:rsidR="008810FB" w:rsidRDefault="003F7AF3">
            <w:pPr>
              <w:numPr>
                <w:ilvl w:val="0"/>
                <w:numId w:val="15"/>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6A8433DA" w14:textId="77777777" w:rsidR="008810FB" w:rsidRDefault="003F7AF3">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 see comments</w:t>
            </w:r>
          </w:p>
        </w:tc>
        <w:tc>
          <w:tcPr>
            <w:tcW w:w="7200" w:type="dxa"/>
          </w:tcPr>
          <w:p w14:paraId="6CC61B9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If SN is the node which receives m-based QoE configuration from OAM, then b) is not needed. If not, MN should at least indicate the QoE Reference and MCE IP address during coordination, which was also part of section 3.1.1.</w:t>
            </w:r>
          </w:p>
          <w:p w14:paraId="071E6C0C" w14:textId="77777777" w:rsidR="008810FB" w:rsidRDefault="003F7AF3">
            <w:pPr>
              <w:numPr>
                <w:ilvl w:val="0"/>
                <w:numId w:val="1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seems necessary, but as mentioned, it depends on the discussion on MDT alignment. Anyway, no harm to have this at current stage.</w:t>
            </w:r>
          </w:p>
        </w:tc>
      </w:tr>
      <w:tr w:rsidR="008810FB" w14:paraId="78852457" w14:textId="77777777">
        <w:trPr>
          <w:trHeight w:val="342"/>
        </w:trPr>
        <w:tc>
          <w:tcPr>
            <w:tcW w:w="1378" w:type="dxa"/>
          </w:tcPr>
          <w:p w14:paraId="34E469B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Huawei</w:t>
            </w:r>
          </w:p>
        </w:tc>
        <w:tc>
          <w:tcPr>
            <w:tcW w:w="1209" w:type="dxa"/>
          </w:tcPr>
          <w:p w14:paraId="39B7919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w:t>
            </w:r>
            <w:r>
              <w:rPr>
                <w:rFonts w:ascii="Times New Roman" w:eastAsiaTheme="minorEastAsia" w:hAnsi="Times New Roman" w:cs="Times New Roman"/>
                <w:sz w:val="20"/>
                <w:szCs w:val="20"/>
                <w:lang w:val="en-GB" w:eastAsia="zh-CN"/>
              </w:rPr>
              <w:t xml:space="preserve"> to a),</w:t>
            </w:r>
          </w:p>
          <w:p w14:paraId="5258B24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 to b) and c)</w:t>
            </w:r>
          </w:p>
        </w:tc>
        <w:tc>
          <w:tcPr>
            <w:tcW w:w="7200" w:type="dxa"/>
          </w:tcPr>
          <w:p w14:paraId="2FBC53F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b), if it is SN which configured the measurement, then not sure if there is a need for MN to indicate to SN the QoE reference and MCE IP address?</w:t>
            </w:r>
          </w:p>
          <w:p w14:paraId="66EEF6F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c), similarly, if MN configured the measurement and report goes to SN, not sure how SN would indicate to MN the session start/stop? Also we think firstly RAN3 need to discuss whether the leg of session start and stop need to be switched in NR-DC. In R17, the session start/stop is not paused. We think we can reuse the same principle. It is not necessary to change the path of session start/stop report. </w:t>
            </w:r>
          </w:p>
        </w:tc>
      </w:tr>
      <w:tr w:rsidR="008810FB" w14:paraId="70F5C99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6D009C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1614E267" w14:textId="77777777" w:rsidR="008810FB" w:rsidRDefault="003F7AF3">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3A3E5698" w14:textId="77777777" w:rsidR="008810FB" w:rsidRDefault="003F7AF3">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Rewording</w:t>
            </w:r>
          </w:p>
          <w:p w14:paraId="048CE282" w14:textId="77777777" w:rsidR="008810FB" w:rsidRDefault="003F7AF3">
            <w:pPr>
              <w:numPr>
                <w:ilvl w:val="0"/>
                <w:numId w:val="16"/>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Xiaomi</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s rewording.</w:t>
            </w:r>
          </w:p>
        </w:tc>
        <w:tc>
          <w:tcPr>
            <w:tcW w:w="7200" w:type="dxa"/>
            <w:tcBorders>
              <w:top w:val="single" w:sz="4" w:space="0" w:color="auto"/>
              <w:left w:val="single" w:sz="4" w:space="0" w:color="auto"/>
              <w:bottom w:val="single" w:sz="4" w:space="0" w:color="auto"/>
              <w:right w:val="single" w:sz="4" w:space="0" w:color="auto"/>
            </w:tcBorders>
          </w:tcPr>
          <w:p w14:paraId="2BDA4E2C"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b)If MN finally send  QoE configuration to UE, the MN should indicate to the SN the QoE reference and the MCE IP address.</w:t>
            </w:r>
          </w:p>
        </w:tc>
      </w:tr>
      <w:tr w:rsidR="009D471B" w14:paraId="63E35B98"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2044B839" w14:textId="77777777" w:rsidR="009D471B" w:rsidRDefault="009D471B" w:rsidP="00DB414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amsung</w:t>
            </w:r>
          </w:p>
        </w:tc>
        <w:tc>
          <w:tcPr>
            <w:tcW w:w="1209" w:type="dxa"/>
            <w:tcBorders>
              <w:top w:val="single" w:sz="4" w:space="0" w:color="auto"/>
              <w:left w:val="single" w:sz="4" w:space="0" w:color="auto"/>
              <w:bottom w:val="single" w:sz="4" w:space="0" w:color="auto"/>
              <w:right w:val="single" w:sz="4" w:space="0" w:color="auto"/>
            </w:tcBorders>
          </w:tcPr>
          <w:p w14:paraId="075C2612" w14:textId="77777777" w:rsidR="009D471B" w:rsidRDefault="009D471B" w:rsidP="00DB4143">
            <w:pPr>
              <w:spacing w:before="120" w:after="0"/>
              <w:rPr>
                <w:rFonts w:ascii="Times New Roman" w:eastAsiaTheme="minorEastAsia" w:hAnsi="Times New Roman" w:cs="Times New Roman"/>
                <w:sz w:val="20"/>
                <w:szCs w:val="20"/>
                <w:lang w:eastAsia="zh-CN"/>
              </w:rPr>
            </w:pPr>
          </w:p>
        </w:tc>
        <w:tc>
          <w:tcPr>
            <w:tcW w:w="7200" w:type="dxa"/>
            <w:tcBorders>
              <w:top w:val="single" w:sz="4" w:space="0" w:color="auto"/>
              <w:left w:val="single" w:sz="4" w:space="0" w:color="auto"/>
              <w:bottom w:val="single" w:sz="4" w:space="0" w:color="auto"/>
              <w:right w:val="single" w:sz="4" w:space="0" w:color="auto"/>
            </w:tcBorders>
          </w:tcPr>
          <w:p w14:paraId="752D3F53" w14:textId="77777777" w:rsidR="009D471B" w:rsidRDefault="009D471B" w:rsidP="00DB414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w:t>
            </w:r>
            <w:r>
              <w:rPr>
                <w:rFonts w:ascii="Times New Roman" w:eastAsiaTheme="minorEastAsia" w:hAnsi="Times New Roman" w:cs="Times New Roman"/>
                <w:sz w:val="20"/>
                <w:szCs w:val="20"/>
                <w:lang w:eastAsia="zh-CN"/>
              </w:rPr>
              <w:t>e share view with ZTE.</w:t>
            </w:r>
          </w:p>
        </w:tc>
      </w:tr>
      <w:tr w:rsidR="008810FB" w14:paraId="20BDD3D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43DCD95" w14:textId="77777777" w:rsidR="008810FB" w:rsidRPr="009D471B" w:rsidRDefault="008810FB">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72048E2A"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3CED493"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57953AB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D756B3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9E59EC"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1EC76C5"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5F41FF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2FA151D"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1F08A778"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A0D6755"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72CDE92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1ECC5A8"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736781D7"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4ECFDB5" w14:textId="77777777" w:rsidR="008810FB" w:rsidRDefault="008810FB">
            <w:pPr>
              <w:spacing w:before="120" w:after="0"/>
              <w:rPr>
                <w:rFonts w:ascii="Times New Roman" w:hAnsi="Times New Roman" w:cs="Times New Roman"/>
                <w:sz w:val="20"/>
                <w:szCs w:val="20"/>
                <w:lang w:val="en-GB"/>
              </w:rPr>
            </w:pPr>
          </w:p>
        </w:tc>
      </w:tr>
      <w:tr w:rsidR="008810FB" w14:paraId="336C510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077A782"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696214BE"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2C2BA27" w14:textId="77777777" w:rsidR="008810FB" w:rsidRDefault="008810FB">
            <w:pPr>
              <w:spacing w:before="120" w:after="0"/>
              <w:rPr>
                <w:rFonts w:ascii="Times New Roman" w:hAnsi="Times New Roman" w:cs="Times New Roman"/>
                <w:sz w:val="20"/>
                <w:szCs w:val="20"/>
                <w:lang w:val="en-GB"/>
              </w:rPr>
            </w:pPr>
          </w:p>
        </w:tc>
      </w:tr>
    </w:tbl>
    <w:p w14:paraId="5D6DFBF8" w14:textId="3A02F4FA" w:rsidR="008810FB" w:rsidRDefault="000A5F13">
      <w:pPr>
        <w:spacing w:before="120" w:after="0"/>
        <w:ind w:left="-9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2747B3">
        <w:rPr>
          <w:rFonts w:ascii="Times New Roman" w:hAnsi="Times New Roman" w:cs="Times New Roman"/>
          <w:b/>
          <w:bCs/>
          <w:color w:val="00B050"/>
          <w:sz w:val="20"/>
          <w:szCs w:val="22"/>
        </w:rPr>
        <w:t>5</w:t>
      </w:r>
      <w:r w:rsidRPr="00C73477">
        <w:rPr>
          <w:rFonts w:ascii="Times New Roman" w:hAnsi="Times New Roman" w:cs="Times New Roman"/>
          <w:b/>
          <w:bCs/>
          <w:color w:val="00B050"/>
          <w:sz w:val="20"/>
          <w:szCs w:val="22"/>
        </w:rPr>
        <w:t>:</w:t>
      </w:r>
      <w:r w:rsidR="00AF4130">
        <w:rPr>
          <w:rFonts w:ascii="Times New Roman" w:hAnsi="Times New Roman" w:cs="Times New Roman"/>
          <w:b/>
          <w:bCs/>
          <w:color w:val="00B050"/>
          <w:sz w:val="20"/>
          <w:szCs w:val="22"/>
        </w:rPr>
        <w:t xml:space="preserve"> Turn into an agreement the WA stating that, i</w:t>
      </w:r>
      <w:r w:rsidR="00AF4130" w:rsidRPr="00AF4130">
        <w:rPr>
          <w:rFonts w:ascii="Times New Roman" w:hAnsi="Times New Roman" w:cs="Times New Roman"/>
          <w:b/>
          <w:bCs/>
          <w:color w:val="00B050"/>
          <w:sz w:val="20"/>
          <w:szCs w:val="22"/>
        </w:rPr>
        <w:t xml:space="preserve">f QoE reports are received by the SN, </w:t>
      </w:r>
      <w:r w:rsidR="003F2924">
        <w:rPr>
          <w:rFonts w:ascii="Times New Roman" w:hAnsi="Times New Roman" w:cs="Times New Roman"/>
          <w:b/>
          <w:bCs/>
          <w:color w:val="00B050"/>
          <w:sz w:val="20"/>
          <w:szCs w:val="22"/>
        </w:rPr>
        <w:t xml:space="preserve">the </w:t>
      </w:r>
      <w:r w:rsidR="00AF4130" w:rsidRPr="00AF4130">
        <w:rPr>
          <w:rFonts w:ascii="Times New Roman" w:hAnsi="Times New Roman" w:cs="Times New Roman"/>
          <w:b/>
          <w:bCs/>
          <w:color w:val="00B050"/>
          <w:sz w:val="20"/>
          <w:szCs w:val="22"/>
        </w:rPr>
        <w:t>SN can forward the QoE reports to MCE directly.</w:t>
      </w:r>
    </w:p>
    <w:p w14:paraId="163F1685" w14:textId="541AE1BB" w:rsidR="0076224E" w:rsidRDefault="0076224E">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2747B3">
        <w:rPr>
          <w:rFonts w:ascii="Times New Roman" w:hAnsi="Times New Roman" w:cs="Times New Roman"/>
          <w:b/>
          <w:bCs/>
          <w:color w:val="00B050"/>
          <w:sz w:val="20"/>
          <w:szCs w:val="22"/>
        </w:rPr>
        <w:t>6</w:t>
      </w:r>
      <w:r>
        <w:rPr>
          <w:rFonts w:ascii="Times New Roman" w:hAnsi="Times New Roman" w:cs="Times New Roman"/>
          <w:b/>
          <w:bCs/>
          <w:color w:val="00B050"/>
          <w:sz w:val="20"/>
          <w:szCs w:val="22"/>
        </w:rPr>
        <w:t xml:space="preserve">: </w:t>
      </w:r>
      <w:r w:rsidR="004B1646">
        <w:rPr>
          <w:rFonts w:ascii="Times New Roman" w:hAnsi="Times New Roman" w:cs="Times New Roman"/>
          <w:b/>
          <w:bCs/>
          <w:color w:val="00B050"/>
          <w:sz w:val="20"/>
          <w:szCs w:val="22"/>
        </w:rPr>
        <w:t>For the SN to forward the QoE reports directly to the MCE, t</w:t>
      </w:r>
      <w:r w:rsidRPr="0076224E">
        <w:rPr>
          <w:rFonts w:ascii="Times New Roman" w:hAnsi="Times New Roman" w:cs="Times New Roman"/>
          <w:b/>
          <w:bCs/>
          <w:color w:val="00B050"/>
          <w:sz w:val="20"/>
          <w:szCs w:val="22"/>
        </w:rPr>
        <w:t xml:space="preserve">he MN </w:t>
      </w:r>
      <w:r w:rsidR="004B1646">
        <w:rPr>
          <w:rFonts w:ascii="Times New Roman" w:hAnsi="Times New Roman" w:cs="Times New Roman"/>
          <w:b/>
          <w:bCs/>
          <w:color w:val="00B050"/>
          <w:sz w:val="20"/>
          <w:szCs w:val="22"/>
        </w:rPr>
        <w:t>can</w:t>
      </w:r>
      <w:r w:rsidRPr="0076224E">
        <w:rPr>
          <w:rFonts w:ascii="Times New Roman" w:hAnsi="Times New Roman" w:cs="Times New Roman"/>
          <w:b/>
          <w:bCs/>
          <w:color w:val="00B050"/>
          <w:sz w:val="20"/>
          <w:szCs w:val="22"/>
        </w:rPr>
        <w:t xml:space="preserve"> indicate to the SN the QoE reference and</w:t>
      </w:r>
      <w:r>
        <w:rPr>
          <w:rFonts w:ascii="Times New Roman" w:hAnsi="Times New Roman" w:cs="Times New Roman"/>
          <w:b/>
          <w:bCs/>
          <w:color w:val="00B050"/>
          <w:sz w:val="20"/>
          <w:szCs w:val="22"/>
        </w:rPr>
        <w:t>/or</w:t>
      </w:r>
      <w:r w:rsidRPr="0076224E">
        <w:rPr>
          <w:rFonts w:ascii="Times New Roman" w:hAnsi="Times New Roman" w:cs="Times New Roman"/>
          <w:b/>
          <w:bCs/>
          <w:color w:val="00B050"/>
          <w:sz w:val="20"/>
          <w:szCs w:val="22"/>
        </w:rPr>
        <w:t xml:space="preserve"> the MCE IP address</w:t>
      </w:r>
      <w:r>
        <w:rPr>
          <w:rFonts w:ascii="Times New Roman" w:hAnsi="Times New Roman" w:cs="Times New Roman"/>
          <w:b/>
          <w:bCs/>
          <w:color w:val="00B050"/>
          <w:sz w:val="20"/>
          <w:szCs w:val="22"/>
        </w:rPr>
        <w:t xml:space="preserve"> (the latter in </w:t>
      </w:r>
      <w:r w:rsidR="00A772F7">
        <w:rPr>
          <w:rFonts w:ascii="Times New Roman" w:hAnsi="Times New Roman" w:cs="Times New Roman"/>
          <w:b/>
          <w:bCs/>
          <w:color w:val="00B050"/>
          <w:sz w:val="20"/>
          <w:szCs w:val="22"/>
        </w:rPr>
        <w:t>case the SN is not in area scope</w:t>
      </w:r>
      <w:r>
        <w:rPr>
          <w:rFonts w:ascii="Times New Roman" w:hAnsi="Times New Roman" w:cs="Times New Roman"/>
          <w:b/>
          <w:bCs/>
          <w:color w:val="00B050"/>
          <w:sz w:val="20"/>
          <w:szCs w:val="22"/>
        </w:rPr>
        <w:t>).</w:t>
      </w:r>
    </w:p>
    <w:p w14:paraId="74D59624" w14:textId="38611EB8" w:rsidR="004B4A6D" w:rsidRDefault="004B4A6D">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2747B3">
        <w:rPr>
          <w:rFonts w:ascii="Times New Roman" w:hAnsi="Times New Roman" w:cs="Times New Roman"/>
          <w:b/>
          <w:bCs/>
          <w:color w:val="00B050"/>
          <w:sz w:val="20"/>
          <w:szCs w:val="22"/>
        </w:rPr>
        <w:t>7</w:t>
      </w:r>
      <w:r>
        <w:rPr>
          <w:rFonts w:ascii="Times New Roman" w:hAnsi="Times New Roman" w:cs="Times New Roman"/>
          <w:b/>
          <w:bCs/>
          <w:color w:val="00B050"/>
          <w:sz w:val="20"/>
          <w:szCs w:val="22"/>
        </w:rPr>
        <w:t xml:space="preserve">: </w:t>
      </w:r>
      <w:r w:rsidR="004B1646">
        <w:rPr>
          <w:rFonts w:ascii="Times New Roman" w:hAnsi="Times New Roman" w:cs="Times New Roman"/>
          <w:b/>
          <w:bCs/>
          <w:color w:val="00B050"/>
          <w:sz w:val="20"/>
          <w:szCs w:val="22"/>
        </w:rPr>
        <w:t xml:space="preserve">For the case when the MN configured the UE with QoE measurements, </w:t>
      </w:r>
      <w:r w:rsidR="00D7427B">
        <w:rPr>
          <w:rFonts w:ascii="Times New Roman" w:hAnsi="Times New Roman" w:cs="Times New Roman"/>
          <w:b/>
          <w:bCs/>
          <w:color w:val="00B050"/>
          <w:sz w:val="20"/>
          <w:szCs w:val="22"/>
        </w:rPr>
        <w:t xml:space="preserve">and </w:t>
      </w:r>
      <w:r w:rsidR="004B1646">
        <w:rPr>
          <w:rFonts w:ascii="Times New Roman" w:hAnsi="Times New Roman" w:cs="Times New Roman"/>
          <w:b/>
          <w:bCs/>
          <w:color w:val="00B050"/>
          <w:sz w:val="20"/>
          <w:szCs w:val="22"/>
        </w:rPr>
        <w:t>the SN forwards the QoE reports directly to the MCE, t</w:t>
      </w:r>
      <w:r w:rsidR="004B1646" w:rsidRPr="004B1646">
        <w:rPr>
          <w:rFonts w:ascii="Times New Roman" w:hAnsi="Times New Roman" w:cs="Times New Roman"/>
          <w:b/>
          <w:bCs/>
          <w:color w:val="00B050"/>
          <w:sz w:val="20"/>
          <w:szCs w:val="22"/>
        </w:rPr>
        <w:t xml:space="preserve">he SN </w:t>
      </w:r>
      <w:r w:rsidR="000F1AC3">
        <w:rPr>
          <w:rFonts w:ascii="Times New Roman" w:hAnsi="Times New Roman" w:cs="Times New Roman"/>
          <w:b/>
          <w:bCs/>
          <w:color w:val="00B050"/>
          <w:sz w:val="20"/>
          <w:szCs w:val="22"/>
        </w:rPr>
        <w:t xml:space="preserve">should </w:t>
      </w:r>
      <w:r w:rsidR="004B1646" w:rsidRPr="004B1646">
        <w:rPr>
          <w:rFonts w:ascii="Times New Roman" w:hAnsi="Times New Roman" w:cs="Times New Roman"/>
          <w:b/>
          <w:bCs/>
          <w:color w:val="00B050"/>
          <w:sz w:val="20"/>
          <w:szCs w:val="22"/>
        </w:rPr>
        <w:t>indicate to the MN the session start and stop</w:t>
      </w:r>
      <w:r w:rsidR="001506F2">
        <w:rPr>
          <w:rFonts w:ascii="Times New Roman" w:hAnsi="Times New Roman" w:cs="Times New Roman"/>
          <w:b/>
          <w:bCs/>
          <w:color w:val="00B050"/>
          <w:sz w:val="20"/>
          <w:szCs w:val="22"/>
        </w:rPr>
        <w:t>.</w:t>
      </w:r>
    </w:p>
    <w:p w14:paraId="36CE3DC0" w14:textId="77777777" w:rsidR="004E4C5B" w:rsidRDefault="004E4C5B">
      <w:pPr>
        <w:spacing w:before="120" w:after="0"/>
        <w:ind w:left="-90"/>
        <w:rPr>
          <w:rFonts w:ascii="Times New Roman" w:hAnsi="Times New Roman" w:cs="Times New Roman"/>
          <w:b/>
          <w:bCs/>
          <w:color w:val="0070C0"/>
          <w:sz w:val="20"/>
          <w:szCs w:val="22"/>
          <w:u w:val="single"/>
        </w:rPr>
      </w:pPr>
    </w:p>
    <w:p w14:paraId="5F68454A" w14:textId="77777777" w:rsidR="008810FB" w:rsidRDefault="003F7AF3">
      <w:pPr>
        <w:pStyle w:val="Heading2"/>
        <w:spacing w:before="120" w:after="0"/>
        <w:rPr>
          <w:rFonts w:ascii="Arial" w:hAnsi="Arial" w:cs="Arial"/>
          <w:lang w:val="en-GB"/>
        </w:rPr>
      </w:pPr>
      <w:r>
        <w:rPr>
          <w:rFonts w:ascii="Arial" w:hAnsi="Arial" w:cs="Arial"/>
          <w:lang w:val="en-GB"/>
        </w:rPr>
        <w:t xml:space="preserve">RVQoE configuration and reporting in NR-DC </w:t>
      </w:r>
    </w:p>
    <w:p w14:paraId="3E370CD0" w14:textId="77777777" w:rsidR="008810FB" w:rsidRDefault="003F7AF3">
      <w:pPr>
        <w:pStyle w:val="Heading3"/>
        <w:spacing w:after="0"/>
        <w:rPr>
          <w:rFonts w:ascii="Arial" w:hAnsi="Arial" w:cs="Arial"/>
        </w:rPr>
      </w:pPr>
      <w:r>
        <w:rPr>
          <w:rFonts w:ascii="Arial" w:hAnsi="Arial" w:cs="Arial"/>
        </w:rPr>
        <w:t>Generating the RVQoE configuration</w:t>
      </w:r>
    </w:p>
    <w:p w14:paraId="60F354BD"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Q4-1: </w:t>
      </w:r>
      <w:r>
        <w:rPr>
          <w:rFonts w:ascii="Times New Roman" w:hAnsi="Times New Roman" w:cs="Times New Roman"/>
          <w:b/>
          <w:bCs/>
          <w:sz w:val="20"/>
          <w:szCs w:val="20"/>
        </w:rPr>
        <w:t>With respect to generating the RVQoE configuration, do you agree that:</w:t>
      </w:r>
    </w:p>
    <w:p w14:paraId="7206B3F1" w14:textId="77777777" w:rsidR="008810FB" w:rsidRDefault="003F7AF3">
      <w:pPr>
        <w:pStyle w:val="ListParagraph"/>
        <w:numPr>
          <w:ilvl w:val="0"/>
          <w:numId w:val="17"/>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MN and SN can generate RVQoE configurations”?</w:t>
      </w:r>
    </w:p>
    <w:p w14:paraId="06322A3A" w14:textId="77777777" w:rsidR="008810FB" w:rsidRDefault="003F7AF3">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szCs w:val="22"/>
        </w:rPr>
        <w:t>The node that received the QoE configuration from the AMF/OAM sends to the other node the list of available RVQoE metrics?</w:t>
      </w:r>
    </w:p>
    <w:p w14:paraId="4D8AA858" w14:textId="77777777" w:rsidR="008810FB" w:rsidRDefault="003F7AF3">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rPr>
        <w:t xml:space="preserve">If both the MN and SN are “interested” in RVQoE measurements from the UE, the MN and SN can indicate the interest to each other, negotiate the RVQoE configuration parameters, after which a common RVQoE configuration is sent to the UE? </w:t>
      </w:r>
    </w:p>
    <w:p w14:paraId="5B69176D" w14:textId="77777777" w:rsidR="008810FB" w:rsidRDefault="003F7AF3">
      <w:pPr>
        <w:pStyle w:val="ListParagraph"/>
        <w:numPr>
          <w:ilvl w:val="0"/>
          <w:numId w:val="17"/>
        </w:numPr>
        <w:spacing w:before="120" w:after="0"/>
        <w:jc w:val="left"/>
        <w:rPr>
          <w:rFonts w:ascii="Times New Roman" w:hAnsi="Times New Roman" w:cs="Times New Roman"/>
          <w:b/>
          <w:bCs/>
          <w:szCs w:val="22"/>
        </w:rPr>
      </w:pPr>
      <w:r>
        <w:rPr>
          <w:rFonts w:ascii="Times New Roman" w:hAnsi="Times New Roman" w:cs="Times New Roman"/>
          <w:b/>
          <w:bCs/>
        </w:rPr>
        <w:t>If only the SN is “interested” in RVQoE measurements from the UE (and the MN is not), the SN generates the RVQoE configuration and configures the UE with it?</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01C53A5F" w14:textId="77777777">
        <w:trPr>
          <w:trHeight w:val="325"/>
        </w:trPr>
        <w:tc>
          <w:tcPr>
            <w:tcW w:w="1378" w:type="dxa"/>
          </w:tcPr>
          <w:p w14:paraId="69B49A2B"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508B6133"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0E1CCBDB"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7AC60EBA" w14:textId="77777777">
        <w:trPr>
          <w:trHeight w:val="357"/>
        </w:trPr>
        <w:tc>
          <w:tcPr>
            <w:tcW w:w="1378" w:type="dxa"/>
          </w:tcPr>
          <w:p w14:paraId="065D0FA1"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3B2D410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all</w:t>
            </w:r>
          </w:p>
        </w:tc>
        <w:tc>
          <w:tcPr>
            <w:tcW w:w="7200" w:type="dxa"/>
          </w:tcPr>
          <w:p w14:paraId="5225449D" w14:textId="77777777" w:rsidR="008810FB" w:rsidRDefault="008810FB">
            <w:pPr>
              <w:spacing w:before="120" w:after="0"/>
              <w:rPr>
                <w:rFonts w:ascii="Times New Roman" w:hAnsi="Times New Roman" w:cs="Times New Roman"/>
                <w:sz w:val="20"/>
                <w:szCs w:val="20"/>
                <w:lang w:val="en-GB"/>
              </w:rPr>
            </w:pPr>
          </w:p>
        </w:tc>
      </w:tr>
      <w:tr w:rsidR="008810FB" w14:paraId="05DB8575" w14:textId="77777777">
        <w:trPr>
          <w:trHeight w:val="342"/>
        </w:trPr>
        <w:tc>
          <w:tcPr>
            <w:tcW w:w="1378" w:type="dxa"/>
          </w:tcPr>
          <w:p w14:paraId="1B2FF1A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195665B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is in contradictory with c)</w:t>
            </w:r>
          </w:p>
          <w:p w14:paraId="2288F35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7AEC7D5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Yes</w:t>
            </w:r>
          </w:p>
        </w:tc>
        <w:tc>
          <w:tcPr>
            <w:tcW w:w="7200" w:type="dxa"/>
          </w:tcPr>
          <w:p w14:paraId="5D905A0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a), if c) is agreed, it means a common configuration is sent to UE, and in our understanding, only one node can generate the common configuration, and it should be MN.</w:t>
            </w:r>
          </w:p>
        </w:tc>
      </w:tr>
      <w:tr w:rsidR="008810FB" w14:paraId="1521EBB6" w14:textId="77777777">
        <w:trPr>
          <w:trHeight w:val="325"/>
        </w:trPr>
        <w:tc>
          <w:tcPr>
            <w:tcW w:w="1378" w:type="dxa"/>
          </w:tcPr>
          <w:p w14:paraId="519BA01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5A5949E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gree to a,b,d. </w:t>
            </w:r>
          </w:p>
          <w:p w14:paraId="2E74071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or C, need more study</w:t>
            </w:r>
          </w:p>
        </w:tc>
        <w:tc>
          <w:tcPr>
            <w:tcW w:w="7200" w:type="dxa"/>
          </w:tcPr>
          <w:p w14:paraId="343FF83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or C)</w:t>
            </w:r>
            <w:r>
              <w:rPr>
                <w:rFonts w:ascii="Times New Roman" w:eastAsiaTheme="minorEastAsia" w:hAnsi="Times New Roman" w:cs="Times New Roman"/>
                <w:sz w:val="20"/>
                <w:szCs w:val="20"/>
                <w:lang w:val="en-GB" w:eastAsia="zh-CN"/>
              </w:rPr>
              <w:t>, we</w:t>
            </w:r>
            <w:r>
              <w:rPr>
                <w:rFonts w:ascii="Times New Roman" w:eastAsiaTheme="minorEastAsia" w:hAnsi="Times New Roman" w:cs="Times New Roman" w:hint="eastAsia"/>
                <w:sz w:val="20"/>
                <w:szCs w:val="20"/>
                <w:lang w:val="en-GB" w:eastAsia="zh-CN"/>
              </w:rPr>
              <w:t xml:space="preserve"> should have more </w:t>
            </w:r>
            <w:r>
              <w:rPr>
                <w:rFonts w:ascii="Times New Roman" w:eastAsiaTheme="minorEastAsia" w:hAnsi="Times New Roman" w:cs="Times New Roman"/>
                <w:sz w:val="20"/>
                <w:szCs w:val="20"/>
                <w:lang w:val="en-GB" w:eastAsia="zh-CN"/>
              </w:rPr>
              <w:t xml:space="preserve">studying. </w:t>
            </w:r>
            <w:r>
              <w:rPr>
                <w:rFonts w:ascii="Times New Roman" w:eastAsiaTheme="minorEastAsia" w:hAnsi="Times New Roman" w:cs="Times New Roman" w:hint="eastAsia"/>
                <w:sz w:val="20"/>
                <w:szCs w:val="20"/>
                <w:lang w:val="en-GB" w:eastAsia="zh-CN"/>
              </w:rPr>
              <w:t xml:space="preserve">if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common configuration is used, how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is handling.  </w:t>
            </w:r>
            <w:r>
              <w:rPr>
                <w:rFonts w:ascii="Times New Roman" w:eastAsiaTheme="minorEastAsia" w:hAnsi="Times New Roman" w:cs="Times New Roman"/>
                <w:sz w:val="20"/>
                <w:szCs w:val="20"/>
                <w:lang w:val="en-GB" w:eastAsia="zh-CN"/>
              </w:rPr>
              <w:t xml:space="preserve">If </w:t>
            </w:r>
            <w:r>
              <w:rPr>
                <w:rFonts w:ascii="Times New Roman" w:eastAsiaTheme="minorEastAsia" w:hAnsi="Times New Roman" w:cs="Times New Roman" w:hint="eastAsia"/>
                <w:sz w:val="20"/>
                <w:szCs w:val="20"/>
                <w:lang w:val="en-GB" w:eastAsia="zh-CN"/>
              </w:rPr>
              <w:t xml:space="preserve">both </w:t>
            </w:r>
            <w:r>
              <w:rPr>
                <w:rFonts w:ascii="Times New Roman" w:eastAsiaTheme="minorEastAsia" w:hAnsi="Times New Roman" w:cs="Times New Roman"/>
                <w:sz w:val="20"/>
                <w:szCs w:val="20"/>
                <w:lang w:val="en-GB" w:eastAsia="zh-CN"/>
              </w:rPr>
              <w:t>two node</w:t>
            </w:r>
            <w:r>
              <w:rPr>
                <w:rFonts w:ascii="Times New Roman" w:eastAsiaTheme="minorEastAsia" w:hAnsi="Times New Roman" w:cs="Times New Roman" w:hint="eastAsia"/>
                <w:sz w:val="20"/>
                <w:szCs w:val="20"/>
                <w:lang w:val="en-GB" w:eastAsia="zh-CN"/>
              </w:rPr>
              <w:t xml:space="preserve">s interest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it is better to have </w:t>
            </w:r>
            <w:r>
              <w:rPr>
                <w:rFonts w:ascii="Times New Roman" w:eastAsiaTheme="minorEastAsia" w:hAnsi="Times New Roman" w:cs="Times New Roman"/>
                <w:sz w:val="20"/>
                <w:szCs w:val="20"/>
                <w:lang w:val="en-GB" w:eastAsia="zh-CN"/>
              </w:rPr>
              <w:t>separated</w:t>
            </w:r>
            <w:r>
              <w:rPr>
                <w:rFonts w:ascii="Times New Roman" w:eastAsiaTheme="minorEastAsia" w:hAnsi="Times New Roman" w:cs="Times New Roman" w:hint="eastAsia"/>
                <w:sz w:val="20"/>
                <w:szCs w:val="20"/>
                <w:lang w:val="en-GB" w:eastAsia="zh-CN"/>
              </w:rPr>
              <w:t xml:space="preserve"> configuration. </w:t>
            </w:r>
            <w:r>
              <w:rPr>
                <w:rFonts w:ascii="Times New Roman" w:eastAsiaTheme="minorEastAsia" w:hAnsi="Times New Roman" w:cs="Times New Roman"/>
                <w:sz w:val="20"/>
                <w:szCs w:val="20"/>
                <w:lang w:val="en-GB" w:eastAsia="zh-CN"/>
              </w:rPr>
              <w:t>O</w:t>
            </w:r>
            <w:r>
              <w:rPr>
                <w:rFonts w:ascii="Times New Roman" w:eastAsiaTheme="minorEastAsia" w:hAnsi="Times New Roman" w:cs="Times New Roman" w:hint="eastAsia"/>
                <w:sz w:val="20"/>
                <w:szCs w:val="20"/>
                <w:lang w:val="en-GB" w:eastAsia="zh-CN"/>
              </w:rPr>
              <w:t xml:space="preserve">therwise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report should be </w:t>
            </w:r>
            <w:r>
              <w:rPr>
                <w:rFonts w:ascii="Times New Roman" w:eastAsiaTheme="minorEastAsia" w:hAnsi="Times New Roman" w:cs="Times New Roman"/>
                <w:sz w:val="20"/>
                <w:szCs w:val="20"/>
                <w:lang w:val="en-GB" w:eastAsia="zh-CN"/>
              </w:rPr>
              <w:t>transferred</w:t>
            </w:r>
            <w:r>
              <w:rPr>
                <w:rFonts w:ascii="Times New Roman" w:eastAsiaTheme="minorEastAsia" w:hAnsi="Times New Roman" w:cs="Times New Roman" w:hint="eastAsia"/>
                <w:sz w:val="20"/>
                <w:szCs w:val="20"/>
                <w:lang w:val="en-GB" w:eastAsia="zh-CN"/>
              </w:rPr>
              <w:t xml:space="preserve"> between two nodes.</w:t>
            </w:r>
            <w:r>
              <w:rPr>
                <w:rFonts w:ascii="Times New Roman" w:eastAsiaTheme="minorEastAsia" w:hAnsi="Times New Roman" w:cs="Times New Roman"/>
                <w:sz w:val="20"/>
                <w:szCs w:val="20"/>
                <w:lang w:val="en-GB" w:eastAsia="zh-CN"/>
              </w:rPr>
              <w:t xml:space="preserve"> </w:t>
            </w:r>
          </w:p>
        </w:tc>
      </w:tr>
      <w:tr w:rsidR="008810FB" w14:paraId="2CC1E75A" w14:textId="77777777">
        <w:trPr>
          <w:trHeight w:val="342"/>
        </w:trPr>
        <w:tc>
          <w:tcPr>
            <w:tcW w:w="1378" w:type="dxa"/>
          </w:tcPr>
          <w:p w14:paraId="515C728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62A2242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 Pending clarification for d)</w:t>
            </w:r>
          </w:p>
          <w:p w14:paraId="0151726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 OK</w:t>
            </w:r>
          </w:p>
          <w:p w14:paraId="2C9E1CB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Need clarification</w:t>
            </w:r>
          </w:p>
          <w:p w14:paraId="48C0E07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d) – Need clarification</w:t>
            </w:r>
          </w:p>
        </w:tc>
        <w:tc>
          <w:tcPr>
            <w:tcW w:w="7200" w:type="dxa"/>
          </w:tcPr>
          <w:p w14:paraId="2A7012D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Who sends the common RVQoE configuration to the UE? In our view, it should be MN. Also, what kind of negotiation is done regarding the RVQoE configuration parameters (who has the final say e.g., if both MN and SN are interested in a certain RVQoE metric but with different periodicities?). Also, we think SN indicating interest to MN is sufficient and the other direction is not needed.</w:t>
            </w:r>
          </w:p>
          <w:p w14:paraId="289020A5" w14:textId="77777777" w:rsidR="008810FB" w:rsidRDefault="003F7AF3">
            <w:pPr>
              <w:spacing w:before="120" w:after="0"/>
              <w:rPr>
                <w:rFonts w:ascii="Times New Roman" w:eastAsiaTheme="minorEastAsia" w:hAnsi="Times New Roman" w:cs="Times New Roman"/>
                <w:sz w:val="20"/>
                <w:szCs w:val="22"/>
              </w:rPr>
            </w:pPr>
            <w:r>
              <w:rPr>
                <w:rFonts w:ascii="Times New Roman" w:eastAsiaTheme="minorEastAsia" w:hAnsi="Times New Roman" w:cs="Times New Roman"/>
                <w:sz w:val="20"/>
                <w:szCs w:val="22"/>
              </w:rPr>
              <w:t>d) – When we say “</w:t>
            </w:r>
            <w:r>
              <w:rPr>
                <w:rFonts w:ascii="Times New Roman" w:eastAsiaTheme="minorEastAsia" w:hAnsi="Times New Roman" w:cs="Times New Roman"/>
                <w:i/>
                <w:iCs/>
                <w:sz w:val="20"/>
                <w:szCs w:val="22"/>
              </w:rPr>
              <w:t>SN generates the RVQoE configuration and configures the UE with it</w:t>
            </w:r>
            <w:r>
              <w:rPr>
                <w:rFonts w:ascii="Times New Roman" w:eastAsiaTheme="minorEastAsia" w:hAnsi="Times New Roman" w:cs="Times New Roman"/>
                <w:sz w:val="20"/>
                <w:szCs w:val="22"/>
              </w:rPr>
              <w:t>”, which of the options is referred?</w:t>
            </w:r>
          </w:p>
          <w:p w14:paraId="3C411F8D" w14:textId="77777777" w:rsidR="008810FB" w:rsidRDefault="003F7AF3">
            <w:pPr>
              <w:pStyle w:val="ListParagraph"/>
              <w:numPr>
                <w:ilvl w:val="0"/>
                <w:numId w:val="18"/>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Option 1: SN sends SN generated RVQoE configuration to MN over XnAP and MN sends QoE configuration over SRB1</w:t>
            </w:r>
          </w:p>
          <w:p w14:paraId="2964343F" w14:textId="77777777" w:rsidR="008810FB" w:rsidRDefault="003F7AF3">
            <w:pPr>
              <w:pStyle w:val="ListParagraph"/>
              <w:numPr>
                <w:ilvl w:val="0"/>
                <w:numId w:val="18"/>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Option 2: SN sends SN generated RVQoE configuration as a container to MN and MN sends the container over SRB1 </w:t>
            </w:r>
          </w:p>
          <w:p w14:paraId="04352E6E" w14:textId="77777777" w:rsidR="008810FB" w:rsidRDefault="003F7AF3">
            <w:pPr>
              <w:pStyle w:val="ListParagraph"/>
              <w:numPr>
                <w:ilvl w:val="0"/>
                <w:numId w:val="18"/>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Option 3: SN sends SN generated RVQoE configuration over SRB3</w:t>
            </w:r>
          </w:p>
          <w:p w14:paraId="0742E7C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2"/>
              </w:rPr>
              <w:t>We think Option 1 is sufficient and achieves coordination as well.</w:t>
            </w:r>
          </w:p>
        </w:tc>
      </w:tr>
      <w:tr w:rsidR="008810FB" w14:paraId="5D4AB7F1" w14:textId="77777777">
        <w:trPr>
          <w:trHeight w:val="325"/>
        </w:trPr>
        <w:tc>
          <w:tcPr>
            <w:tcW w:w="1378" w:type="dxa"/>
          </w:tcPr>
          <w:p w14:paraId="25D5346C"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7F48ED1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Yes -&gt;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b) d)</w:t>
            </w:r>
          </w:p>
        </w:tc>
        <w:tc>
          <w:tcPr>
            <w:tcW w:w="7200" w:type="dxa"/>
          </w:tcPr>
          <w:p w14:paraId="2BBBC393" w14:textId="77777777" w:rsidR="008810FB" w:rsidRDefault="003F7AF3">
            <w:pPr>
              <w:spacing w:before="120" w:after="0"/>
              <w:rPr>
                <w:rFonts w:ascii="Times New Roman" w:eastAsiaTheme="minorEastAsia" w:hAnsi="Times New Roman" w:cs="Times New Roman"/>
              </w:rPr>
            </w:pPr>
            <w:r>
              <w:rPr>
                <w:rFonts w:ascii="Times New Roman" w:eastAsiaTheme="minorEastAsia" w:hAnsi="Times New Roman" w:cs="Times New Roman" w:hint="eastAsia"/>
                <w:lang w:eastAsia="zh-CN"/>
              </w:rPr>
              <w:t>c)</w:t>
            </w:r>
            <w:r>
              <w:rPr>
                <w:rFonts w:ascii="Times New Roman" w:eastAsiaTheme="minorEastAsia" w:hAnsi="Times New Roman" w:cs="Times New Roman" w:hint="eastAsia"/>
              </w:rPr>
              <w:t xml:space="preserve"> </w:t>
            </w:r>
            <w:r>
              <w:rPr>
                <w:rFonts w:ascii="Times New Roman" w:eastAsiaTheme="minorEastAsia" w:hAnsi="Times New Roman" w:cs="Times New Roman"/>
              </w:rPr>
              <w:t xml:space="preserve">common RVQoE configuration needs to be clarified. </w:t>
            </w:r>
          </w:p>
        </w:tc>
      </w:tr>
      <w:tr w:rsidR="008810FB" w14:paraId="539A3C18" w14:textId="77777777">
        <w:trPr>
          <w:trHeight w:val="342"/>
        </w:trPr>
        <w:tc>
          <w:tcPr>
            <w:tcW w:w="1378" w:type="dxa"/>
          </w:tcPr>
          <w:p w14:paraId="167F74B7"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32AD53FE" w14:textId="77777777" w:rsidR="008810FB" w:rsidRDefault="003F7AF3">
            <w:pPr>
              <w:numPr>
                <w:ilvl w:val="0"/>
                <w:numId w:val="1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and c) can be merged</w:t>
            </w:r>
          </w:p>
          <w:p w14:paraId="3E7C0400" w14:textId="77777777" w:rsidR="008810FB" w:rsidRDefault="003F7AF3">
            <w:pPr>
              <w:numPr>
                <w:ilvl w:val="0"/>
                <w:numId w:val="1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p w14:paraId="36B24DD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d)- See comments</w:t>
            </w:r>
          </w:p>
        </w:tc>
        <w:tc>
          <w:tcPr>
            <w:tcW w:w="7200" w:type="dxa"/>
          </w:tcPr>
          <w:p w14:paraId="716102C6" w14:textId="77777777" w:rsidR="008810FB" w:rsidRDefault="003F7AF3">
            <w:pPr>
              <w:numPr>
                <w:ilvl w:val="0"/>
                <w:numId w:val="20"/>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 our view is both MN and SN can generate RVQoE configuration parameters based on its own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interest</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but it should be MN to send a common RRC message to UE for RVQoE configuration. So, a) and c) can be merged into the following one:</w:t>
            </w:r>
          </w:p>
          <w:p w14:paraId="31B465AF" w14:textId="77777777" w:rsidR="008810FB" w:rsidRDefault="003F7AF3">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Both MN and SN can generate RVQoE configuration parameters, but it is MN to make the final decision and send a common RRC message to UE for RVQoE configuration. XnAP coordination is needed for SN to transfer its RVQoE configuration parameters to MN.</w:t>
            </w:r>
          </w:p>
          <w:p w14:paraId="70ADB8DF" w14:textId="77777777" w:rsidR="008810FB" w:rsidRDefault="003F7AF3">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hint="eastAsia"/>
                <w:sz w:val="20"/>
                <w:szCs w:val="20"/>
                <w:lang w:eastAsia="zh-CN"/>
              </w:rPr>
              <w:t>d)-   as we commented, SN should send its parameters to MN and let MN make the final decision. Regarding the three options provided by Qualcomm, option 1 is also our preference.</w:t>
            </w:r>
          </w:p>
        </w:tc>
      </w:tr>
      <w:tr w:rsidR="008810FB" w14:paraId="425009D0" w14:textId="77777777">
        <w:trPr>
          <w:trHeight w:val="342"/>
        </w:trPr>
        <w:tc>
          <w:tcPr>
            <w:tcW w:w="1378" w:type="dxa"/>
          </w:tcPr>
          <w:p w14:paraId="5F0052F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2A7AA27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200" w:type="dxa"/>
          </w:tcPr>
          <w:p w14:paraId="3DB6C069" w14:textId="77777777" w:rsidR="008810FB" w:rsidRDefault="003F7AF3">
            <w:pPr>
              <w:spacing w:before="120" w:after="0"/>
              <w:rPr>
                <w:rFonts w:ascii="Times New Roman" w:eastAsiaTheme="minorEastAsia" w:hAnsi="Times New Roman" w:cs="Times New Roman"/>
                <w:sz w:val="20"/>
                <w:szCs w:val="20"/>
                <w:lang w:val="sv-SE" w:eastAsia="zh-CN"/>
              </w:rPr>
            </w:pPr>
            <w:r>
              <w:rPr>
                <w:rFonts w:ascii="Times New Roman" w:eastAsiaTheme="minorEastAsia" w:hAnsi="Times New Roman" w:cs="Times New Roman"/>
                <w:sz w:val="20"/>
                <w:szCs w:val="20"/>
                <w:lang w:val="sv-SE" w:eastAsia="zh-CN"/>
              </w:rPr>
              <w:t>Our views:</w:t>
            </w:r>
          </w:p>
          <w:p w14:paraId="2700638C" w14:textId="77777777" w:rsidR="008810FB" w:rsidRPr="002932A3" w:rsidRDefault="003F7AF3">
            <w:pPr>
              <w:pStyle w:val="ListParagraph"/>
              <w:numPr>
                <w:ilvl w:val="0"/>
                <w:numId w:val="21"/>
              </w:numPr>
              <w:spacing w:before="120" w:after="0"/>
              <w:rPr>
                <w:rFonts w:ascii="Times New Roman" w:eastAsiaTheme="minorEastAsia" w:hAnsi="Times New Roman" w:cs="Times New Roman"/>
                <w:lang w:val="en-US"/>
              </w:rPr>
            </w:pPr>
            <w:r w:rsidRPr="002932A3">
              <w:rPr>
                <w:rFonts w:ascii="Times New Roman" w:eastAsiaTheme="minorEastAsia" w:hAnsi="Times New Roman" w:cs="Times New Roman"/>
                <w:lang w:val="en-US"/>
              </w:rPr>
              <w:t>Only the node which sends the QoE measurement configuration to the UE can configure the RAN visible QoE measurement corresponding to this QoE measurement, UE only needs to send the RAN visible QoE results to this node.</w:t>
            </w:r>
          </w:p>
          <w:p w14:paraId="54F7BECF" w14:textId="77777777" w:rsidR="008810FB" w:rsidRPr="002932A3" w:rsidRDefault="003F7AF3">
            <w:pPr>
              <w:pStyle w:val="ListParagraph"/>
              <w:numPr>
                <w:ilvl w:val="0"/>
                <w:numId w:val="21"/>
              </w:numPr>
              <w:spacing w:before="120" w:after="0"/>
              <w:rPr>
                <w:rFonts w:ascii="Times New Roman" w:eastAsiaTheme="minorEastAsia" w:hAnsi="Times New Roman" w:cs="Times New Roman"/>
                <w:lang w:val="en-US"/>
              </w:rPr>
            </w:pPr>
            <w:r w:rsidRPr="002932A3">
              <w:rPr>
                <w:rFonts w:ascii="Times New Roman" w:eastAsiaTheme="minorEastAsia" w:hAnsi="Times New Roman" w:cs="Times New Roman"/>
                <w:lang w:val="en-US"/>
              </w:rPr>
              <w:t>If one node receives the RAN visible QoE report from the UE and the services corresponding to this QoE measurement is also served by the peer node, it can send the received RAN visible QoE report to the peer node.</w:t>
            </w:r>
          </w:p>
          <w:p w14:paraId="3F5FF9F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a), we think it is not clear. We think </w:t>
            </w:r>
            <w:r w:rsidRPr="002932A3">
              <w:rPr>
                <w:rFonts w:ascii="Times New Roman" w:eastAsiaTheme="minorEastAsia" w:hAnsi="Times New Roman" w:cs="Times New Roman"/>
                <w:sz w:val="20"/>
                <w:szCs w:val="20"/>
                <w:lang w:eastAsia="zh-CN"/>
              </w:rPr>
              <w:t>Only the node which sends the QoE measurement configuration to the UE can send the RAN visible QoE measurement corresponding to this QoE measurement to UE</w:t>
            </w:r>
            <w:r>
              <w:rPr>
                <w:rFonts w:ascii="Times New Roman" w:eastAsiaTheme="minorEastAsia" w:hAnsi="Times New Roman" w:cs="Times New Roman"/>
                <w:sz w:val="20"/>
                <w:szCs w:val="20"/>
                <w:lang w:val="en-GB" w:eastAsia="zh-CN"/>
              </w:rPr>
              <w:t xml:space="preserve">. But the negotiation is supported. </w:t>
            </w:r>
          </w:p>
          <w:p w14:paraId="60047E39" w14:textId="3435898E" w:rsidR="008810FB" w:rsidRPr="002932A3"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For b), we think we need add one condition. “The node that received the QoE configuration from the AMF/OAM sends to the other node the list of available RVQoE metrics Only if </w:t>
            </w:r>
            <w:r w:rsidRPr="002932A3">
              <w:rPr>
                <w:rFonts w:ascii="Times New Roman" w:eastAsiaTheme="minorEastAsia" w:hAnsi="Times New Roman" w:cs="Times New Roman"/>
                <w:sz w:val="20"/>
                <w:szCs w:val="20"/>
                <w:lang w:eastAsia="zh-CN"/>
              </w:rPr>
              <w:t xml:space="preserve">the services corresponding to this QoE measurement is served by the other node”. In our </w:t>
            </w:r>
            <w:r w:rsidR="005E02E3" w:rsidRPr="002932A3">
              <w:rPr>
                <w:rFonts w:ascii="Times New Roman" w:eastAsiaTheme="minorEastAsia" w:hAnsi="Times New Roman" w:cs="Times New Roman"/>
                <w:sz w:val="20"/>
                <w:szCs w:val="20"/>
                <w:lang w:eastAsia="zh-CN"/>
              </w:rPr>
              <w:t>understanding</w:t>
            </w:r>
            <w:r w:rsidRPr="002932A3">
              <w:rPr>
                <w:rFonts w:ascii="Times New Roman" w:eastAsiaTheme="minorEastAsia" w:hAnsi="Times New Roman" w:cs="Times New Roman"/>
                <w:sz w:val="20"/>
                <w:szCs w:val="20"/>
                <w:lang w:eastAsia="zh-CN"/>
              </w:rPr>
              <w:t>, before receiving the start indication</w:t>
            </w:r>
            <w:r>
              <w:rPr>
                <w:rFonts w:ascii="Times New Roman" w:eastAsiaTheme="minorEastAsia" w:hAnsi="Times New Roman" w:cs="Times New Roman"/>
                <w:sz w:val="20"/>
                <w:szCs w:val="20"/>
                <w:lang w:val="en-GB" w:eastAsia="zh-CN"/>
              </w:rPr>
              <w:t xml:space="preserve"> including the QoS flow information</w:t>
            </w:r>
            <w:r w:rsidRPr="002932A3">
              <w:rPr>
                <w:rFonts w:ascii="Times New Roman" w:eastAsiaTheme="minorEastAsia" w:hAnsi="Times New Roman" w:cs="Times New Roman"/>
                <w:sz w:val="20"/>
                <w:szCs w:val="20"/>
                <w:lang w:eastAsia="zh-CN"/>
              </w:rPr>
              <w:t xml:space="preserve">, the node that </w:t>
            </w:r>
            <w:r w:rsidR="005E02E3" w:rsidRPr="002932A3">
              <w:rPr>
                <w:rFonts w:ascii="Times New Roman" w:eastAsiaTheme="minorEastAsia" w:hAnsi="Times New Roman" w:cs="Times New Roman"/>
                <w:sz w:val="20"/>
                <w:szCs w:val="20"/>
                <w:lang w:eastAsia="zh-CN"/>
              </w:rPr>
              <w:t>received</w:t>
            </w:r>
            <w:r w:rsidRPr="002932A3">
              <w:rPr>
                <w:rFonts w:ascii="Times New Roman" w:eastAsiaTheme="minorEastAsia" w:hAnsi="Times New Roman" w:cs="Times New Roman"/>
                <w:sz w:val="20"/>
                <w:szCs w:val="20"/>
                <w:lang w:eastAsia="zh-CN"/>
              </w:rPr>
              <w:t xml:space="preserve"> the QoE configuration from AMF/OAM does not know whether the services is served by the other node and also the other node does not know whether it is interested in the RAN visible QoE of these services. Therefore we think the node </w:t>
            </w:r>
            <w:r>
              <w:rPr>
                <w:rFonts w:ascii="Times New Roman" w:eastAsiaTheme="minorEastAsia" w:hAnsi="Times New Roman" w:cs="Times New Roman"/>
                <w:sz w:val="20"/>
                <w:szCs w:val="20"/>
                <w:lang w:val="en-GB" w:eastAsia="zh-CN"/>
              </w:rPr>
              <w:t>that received the QoE configuration sends to the other node the list of available RVQoE metrics only after receiving the QoE start indication including the QoS flow information.</w:t>
            </w:r>
          </w:p>
          <w:p w14:paraId="276B2B3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 similarly, we think the negotiation happens after the QoE start and then the network can reconfigure the RAN visible QoE configuration if needed; but, not sure if we should discuss this scenario.</w:t>
            </w:r>
          </w:p>
          <w:p w14:paraId="5565ED5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d), does this mean that visible measurement configuration and QoE measurement could be configured by different node? As the above comments, we think </w:t>
            </w:r>
            <w:r w:rsidRPr="002932A3">
              <w:rPr>
                <w:rFonts w:ascii="Times New Roman" w:eastAsiaTheme="minorEastAsia" w:hAnsi="Times New Roman" w:cs="Times New Roman"/>
                <w:sz w:val="20"/>
                <w:szCs w:val="20"/>
                <w:lang w:eastAsia="zh-CN"/>
              </w:rPr>
              <w:t>Only the node which sends the QoE measurement configuration to the UE can configure the RAN visible QoE measurement corresponding to this QoE measurement.</w:t>
            </w:r>
          </w:p>
        </w:tc>
      </w:tr>
      <w:tr w:rsidR="008810FB" w14:paraId="78E8C34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395422A"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6017F150"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 comments</w:t>
            </w:r>
          </w:p>
        </w:tc>
        <w:tc>
          <w:tcPr>
            <w:tcW w:w="7200" w:type="dxa"/>
            <w:tcBorders>
              <w:top w:val="single" w:sz="4" w:space="0" w:color="auto"/>
              <w:left w:val="single" w:sz="4" w:space="0" w:color="auto"/>
              <w:bottom w:val="single" w:sz="4" w:space="0" w:color="auto"/>
              <w:right w:val="single" w:sz="4" w:space="0" w:color="auto"/>
            </w:tcBorders>
          </w:tcPr>
          <w:p w14:paraId="119182C6"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 only the MN sends QMC configuration to the UE, so also only MN generates the final RVQoE. But we're fine that the SN sends its RVQoE requests to the MN, which generates a superset of MN + SN requests.</w:t>
            </w:r>
          </w:p>
          <w:p w14:paraId="1652B14F"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 ok, but only the MN receives QMC configuration</w:t>
            </w:r>
          </w:p>
          <w:p w14:paraId="7D68F33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 ok if the negotiation means creation of a superset of the requested metrics</w:t>
            </w:r>
          </w:p>
          <w:p w14:paraId="3E46BAA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 better (simpler) to require that both MN and SN support QMC, and MN can then send the configuration to the UE</w:t>
            </w:r>
          </w:p>
          <w:p w14:paraId="3A736B51" w14:textId="77777777" w:rsidR="008810FB" w:rsidRDefault="008810FB">
            <w:pPr>
              <w:spacing w:before="120" w:after="0"/>
              <w:rPr>
                <w:rFonts w:ascii="Times New Roman" w:eastAsiaTheme="minorEastAsia" w:hAnsi="Times New Roman" w:cs="Times New Roman"/>
                <w:sz w:val="20"/>
                <w:szCs w:val="20"/>
                <w:lang w:eastAsia="zh-CN"/>
              </w:rPr>
            </w:pPr>
          </w:p>
        </w:tc>
      </w:tr>
      <w:tr w:rsidR="008810FB" w14:paraId="7C2C4D7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499B97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686BF4BF" w14:textId="77777777" w:rsidR="008810FB" w:rsidRDefault="003F7AF3">
            <w:pPr>
              <w:numPr>
                <w:ilvl w:val="0"/>
                <w:numId w:val="22"/>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 d)Yes</w:t>
            </w:r>
          </w:p>
          <w:p w14:paraId="1099354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c)No</w:t>
            </w:r>
          </w:p>
          <w:p w14:paraId="609DC23A"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F311851"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 We are not clear how to negotiate about the RVQoE configuration considering:</w:t>
            </w:r>
          </w:p>
          <w:p w14:paraId="397EAED2"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have different interests of QoE metrics;</w:t>
            </w:r>
          </w:p>
          <w:p w14:paraId="4C058E7F"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have different preference about the RVQoE reporting periodicity;</w:t>
            </w:r>
          </w:p>
          <w:p w14:paraId="0C3880AC"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 MN and SN may need to configure the RVQoE in different time.</w:t>
            </w:r>
          </w:p>
          <w:p w14:paraId="6EACF47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It is difficult for MN and SN to negotiate about the RVQoE configuration, and we think two separate RVQoE configurations for MN and SN are better.</w:t>
            </w:r>
          </w:p>
        </w:tc>
      </w:tr>
      <w:tr w:rsidR="009D471B" w14:paraId="02ADABAD"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4AA53B14"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3FD84E8C"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A,b,d</w:t>
            </w:r>
          </w:p>
        </w:tc>
        <w:tc>
          <w:tcPr>
            <w:tcW w:w="7200" w:type="dxa"/>
            <w:tcBorders>
              <w:top w:val="single" w:sz="4" w:space="0" w:color="auto"/>
              <w:left w:val="single" w:sz="4" w:space="0" w:color="auto"/>
              <w:bottom w:val="single" w:sz="4" w:space="0" w:color="auto"/>
              <w:right w:val="single" w:sz="4" w:space="0" w:color="auto"/>
            </w:tcBorders>
          </w:tcPr>
          <w:p w14:paraId="684A3A5B"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could be regarded as optimization but we are open to discuss.</w:t>
            </w:r>
          </w:p>
        </w:tc>
      </w:tr>
      <w:tr w:rsidR="008810FB" w14:paraId="78FA087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9FAD90" w14:textId="77777777" w:rsidR="008810FB" w:rsidRPr="009D471B" w:rsidRDefault="008810FB">
            <w:pPr>
              <w:spacing w:before="120" w:after="0"/>
              <w:rPr>
                <w:rFonts w:ascii="Times New Roman" w:eastAsiaTheme="minorEastAsia" w:hAnsi="Times New Roman" w:cs="Times New Roman"/>
                <w:sz w:val="20"/>
                <w:szCs w:val="20"/>
                <w:lang w:eastAsia="zh-CN"/>
              </w:rPr>
            </w:pPr>
          </w:p>
        </w:tc>
        <w:tc>
          <w:tcPr>
            <w:tcW w:w="1209" w:type="dxa"/>
            <w:tcBorders>
              <w:top w:val="single" w:sz="4" w:space="0" w:color="auto"/>
              <w:left w:val="single" w:sz="4" w:space="0" w:color="auto"/>
              <w:bottom w:val="single" w:sz="4" w:space="0" w:color="auto"/>
              <w:right w:val="single" w:sz="4" w:space="0" w:color="auto"/>
            </w:tcBorders>
          </w:tcPr>
          <w:p w14:paraId="17D2637B"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7D3F1AF4"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6893AC03"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238098"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C090616"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513B3CAD"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4F303B1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43ACFE7"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5F46781B"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2D7A7D93" w14:textId="77777777" w:rsidR="008810FB" w:rsidRDefault="008810FB">
            <w:pPr>
              <w:spacing w:before="120" w:after="0"/>
              <w:rPr>
                <w:rFonts w:ascii="Times New Roman" w:hAnsi="Times New Roman" w:cs="Times New Roman"/>
                <w:bCs/>
                <w:sz w:val="20"/>
                <w:szCs w:val="20"/>
                <w:lang w:val="en-GB"/>
              </w:rPr>
            </w:pPr>
          </w:p>
        </w:tc>
      </w:tr>
      <w:tr w:rsidR="008810FB" w14:paraId="3075ECC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858585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0410FA4"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1B01D5DB" w14:textId="77777777" w:rsidR="008810FB" w:rsidRDefault="008810FB">
            <w:pPr>
              <w:spacing w:before="120" w:after="0"/>
              <w:rPr>
                <w:rFonts w:ascii="Times New Roman" w:hAnsi="Times New Roman" w:cs="Times New Roman"/>
                <w:bCs/>
                <w:sz w:val="20"/>
                <w:szCs w:val="20"/>
                <w:lang w:val="en-GB"/>
              </w:rPr>
            </w:pPr>
          </w:p>
        </w:tc>
      </w:tr>
    </w:tbl>
    <w:p w14:paraId="07B85D87" w14:textId="79D85F7D" w:rsidR="00696D82" w:rsidRDefault="00421234">
      <w:pPr>
        <w:spacing w:before="120" w:after="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9526D9">
        <w:rPr>
          <w:rFonts w:ascii="Times New Roman" w:hAnsi="Times New Roman" w:cs="Times New Roman"/>
          <w:b/>
          <w:bCs/>
          <w:color w:val="00B050"/>
          <w:sz w:val="20"/>
          <w:szCs w:val="22"/>
        </w:rPr>
        <w:t>8</w:t>
      </w:r>
      <w:r w:rsidRPr="00C73477">
        <w:rPr>
          <w:rFonts w:ascii="Times New Roman" w:hAnsi="Times New Roman" w:cs="Times New Roman"/>
          <w:b/>
          <w:bCs/>
          <w:color w:val="00B050"/>
          <w:sz w:val="20"/>
          <w:szCs w:val="22"/>
        </w:rPr>
        <w:t>:</w:t>
      </w:r>
      <w:r w:rsidR="007432EB">
        <w:rPr>
          <w:rFonts w:ascii="Times New Roman" w:hAnsi="Times New Roman" w:cs="Times New Roman"/>
          <w:b/>
          <w:bCs/>
          <w:color w:val="00B050"/>
          <w:sz w:val="20"/>
          <w:szCs w:val="22"/>
        </w:rPr>
        <w:t xml:space="preserve"> </w:t>
      </w:r>
      <w:r w:rsidR="00DF5B6C">
        <w:rPr>
          <w:rFonts w:ascii="Times New Roman" w:hAnsi="Times New Roman" w:cs="Times New Roman"/>
          <w:b/>
          <w:bCs/>
          <w:color w:val="00B050"/>
          <w:sz w:val="20"/>
          <w:szCs w:val="22"/>
        </w:rPr>
        <w:t>(reformulated WA for agreement)</w:t>
      </w:r>
      <w:r w:rsidR="00F8047F">
        <w:rPr>
          <w:rFonts w:ascii="Times New Roman" w:hAnsi="Times New Roman" w:cs="Times New Roman"/>
          <w:b/>
          <w:bCs/>
          <w:color w:val="00B050"/>
          <w:sz w:val="20"/>
          <w:szCs w:val="22"/>
        </w:rPr>
        <w:t xml:space="preserve"> </w:t>
      </w:r>
      <w:r w:rsidR="00402558">
        <w:rPr>
          <w:rFonts w:ascii="Times New Roman" w:hAnsi="Times New Roman" w:cs="Times New Roman"/>
          <w:b/>
          <w:bCs/>
          <w:color w:val="00B050"/>
          <w:sz w:val="20"/>
          <w:szCs w:val="22"/>
        </w:rPr>
        <w:t xml:space="preserve">Depending on the scenario, </w:t>
      </w:r>
      <w:r w:rsidR="00673093">
        <w:rPr>
          <w:rFonts w:ascii="Times New Roman" w:hAnsi="Times New Roman" w:cs="Times New Roman"/>
          <w:b/>
          <w:bCs/>
          <w:color w:val="00B050"/>
          <w:sz w:val="20"/>
          <w:szCs w:val="22"/>
        </w:rPr>
        <w:t xml:space="preserve">the </w:t>
      </w:r>
      <w:r w:rsidR="00F8047F" w:rsidRPr="00F8047F">
        <w:rPr>
          <w:rFonts w:ascii="Times New Roman" w:hAnsi="Times New Roman" w:cs="Times New Roman"/>
          <w:b/>
          <w:bCs/>
          <w:color w:val="00B050"/>
          <w:sz w:val="20"/>
          <w:szCs w:val="22"/>
        </w:rPr>
        <w:t xml:space="preserve">MN and </w:t>
      </w:r>
      <w:r w:rsidR="00673093">
        <w:rPr>
          <w:rFonts w:ascii="Times New Roman" w:hAnsi="Times New Roman" w:cs="Times New Roman"/>
          <w:b/>
          <w:bCs/>
          <w:color w:val="00B050"/>
          <w:sz w:val="20"/>
          <w:szCs w:val="22"/>
        </w:rPr>
        <w:t xml:space="preserve">the </w:t>
      </w:r>
      <w:r w:rsidR="00F8047F" w:rsidRPr="00F8047F">
        <w:rPr>
          <w:rFonts w:ascii="Times New Roman" w:hAnsi="Times New Roman" w:cs="Times New Roman"/>
          <w:b/>
          <w:bCs/>
          <w:color w:val="00B050"/>
          <w:sz w:val="20"/>
          <w:szCs w:val="22"/>
        </w:rPr>
        <w:t>SN can generate RVQoE configurations</w:t>
      </w:r>
      <w:r w:rsidR="00696D82">
        <w:rPr>
          <w:rFonts w:ascii="Times New Roman" w:hAnsi="Times New Roman" w:cs="Times New Roman"/>
          <w:b/>
          <w:bCs/>
          <w:color w:val="00B050"/>
          <w:sz w:val="20"/>
          <w:szCs w:val="22"/>
        </w:rPr>
        <w:t>.</w:t>
      </w:r>
    </w:p>
    <w:p w14:paraId="4382F5BF" w14:textId="679E4D26" w:rsidR="00024088" w:rsidRDefault="00A57381">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9</w:t>
      </w:r>
      <w:r>
        <w:rPr>
          <w:rFonts w:ascii="Times New Roman" w:hAnsi="Times New Roman" w:cs="Times New Roman"/>
          <w:b/>
          <w:bCs/>
          <w:color w:val="00B050"/>
          <w:sz w:val="20"/>
          <w:szCs w:val="22"/>
        </w:rPr>
        <w:t xml:space="preserve">: </w:t>
      </w:r>
      <w:r w:rsidRPr="00A57381">
        <w:rPr>
          <w:rFonts w:ascii="Times New Roman" w:hAnsi="Times New Roman" w:cs="Times New Roman"/>
          <w:b/>
          <w:bCs/>
          <w:color w:val="00B050"/>
          <w:sz w:val="20"/>
          <w:szCs w:val="22"/>
        </w:rPr>
        <w:t>The node that received the QoE configuration from the AMF/OAM sends to the other node the list of available RVQoE metrics</w:t>
      </w:r>
      <w:r>
        <w:rPr>
          <w:rFonts w:ascii="Times New Roman" w:hAnsi="Times New Roman" w:cs="Times New Roman"/>
          <w:b/>
          <w:bCs/>
          <w:color w:val="00B050"/>
          <w:sz w:val="20"/>
          <w:szCs w:val="22"/>
        </w:rPr>
        <w:t>.</w:t>
      </w:r>
    </w:p>
    <w:p w14:paraId="7EFFDAC0" w14:textId="27344DD7" w:rsidR="0068199B" w:rsidRDefault="0068199B">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10</w:t>
      </w:r>
      <w:r>
        <w:rPr>
          <w:rFonts w:ascii="Times New Roman" w:hAnsi="Times New Roman" w:cs="Times New Roman"/>
          <w:b/>
          <w:bCs/>
          <w:color w:val="00B050"/>
          <w:sz w:val="20"/>
          <w:szCs w:val="22"/>
        </w:rPr>
        <w:t xml:space="preserve">: </w:t>
      </w:r>
      <w:r w:rsidR="00AB2ADB">
        <w:rPr>
          <w:rFonts w:ascii="Times New Roman" w:hAnsi="Times New Roman" w:cs="Times New Roman"/>
          <w:b/>
          <w:bCs/>
          <w:color w:val="00B050"/>
          <w:sz w:val="20"/>
          <w:szCs w:val="22"/>
        </w:rPr>
        <w:t xml:space="preserve">With respect to </w:t>
      </w:r>
      <w:r w:rsidR="004A68E3">
        <w:rPr>
          <w:rFonts w:ascii="Times New Roman" w:hAnsi="Times New Roman" w:cs="Times New Roman"/>
          <w:b/>
          <w:bCs/>
          <w:color w:val="00B050"/>
          <w:sz w:val="20"/>
          <w:szCs w:val="22"/>
        </w:rPr>
        <w:t>configuring the UE with RVQoE measurements, d</w:t>
      </w:r>
      <w:r>
        <w:rPr>
          <w:rFonts w:ascii="Times New Roman" w:hAnsi="Times New Roman" w:cs="Times New Roman"/>
          <w:b/>
          <w:bCs/>
          <w:color w:val="00B050"/>
          <w:sz w:val="20"/>
          <w:szCs w:val="22"/>
        </w:rPr>
        <w:t>iscuss how</w:t>
      </w:r>
      <w:r w:rsidR="00D441C3">
        <w:rPr>
          <w:rFonts w:ascii="Times New Roman" w:hAnsi="Times New Roman" w:cs="Times New Roman"/>
          <w:b/>
          <w:bCs/>
          <w:color w:val="00B050"/>
          <w:sz w:val="20"/>
          <w:szCs w:val="22"/>
        </w:rPr>
        <w:t xml:space="preserve"> to</w:t>
      </w:r>
      <w:r w:rsidR="00093DBE">
        <w:rPr>
          <w:rFonts w:ascii="Times New Roman" w:hAnsi="Times New Roman" w:cs="Times New Roman"/>
          <w:b/>
          <w:bCs/>
          <w:color w:val="00B050"/>
          <w:sz w:val="20"/>
          <w:szCs w:val="22"/>
        </w:rPr>
        <w:t xml:space="preserve"> </w:t>
      </w:r>
      <w:r w:rsidR="004C2B74">
        <w:rPr>
          <w:rFonts w:ascii="Times New Roman" w:hAnsi="Times New Roman" w:cs="Times New Roman"/>
          <w:b/>
          <w:bCs/>
          <w:color w:val="00B050"/>
          <w:sz w:val="20"/>
          <w:szCs w:val="22"/>
        </w:rPr>
        <w:t xml:space="preserve">address the </w:t>
      </w:r>
      <w:r w:rsidR="00DE2B18">
        <w:rPr>
          <w:rFonts w:ascii="Times New Roman" w:hAnsi="Times New Roman" w:cs="Times New Roman"/>
          <w:b/>
          <w:bCs/>
          <w:color w:val="00B050"/>
          <w:sz w:val="20"/>
          <w:szCs w:val="22"/>
        </w:rPr>
        <w:t>fact</w:t>
      </w:r>
      <w:r w:rsidR="004C2B74">
        <w:rPr>
          <w:rFonts w:ascii="Times New Roman" w:hAnsi="Times New Roman" w:cs="Times New Roman"/>
          <w:b/>
          <w:bCs/>
          <w:color w:val="00B050"/>
          <w:sz w:val="20"/>
          <w:szCs w:val="22"/>
        </w:rPr>
        <w:t xml:space="preserve"> </w:t>
      </w:r>
      <w:r w:rsidR="00093DBE">
        <w:rPr>
          <w:rFonts w:ascii="Times New Roman" w:hAnsi="Times New Roman" w:cs="Times New Roman"/>
          <w:b/>
          <w:bCs/>
          <w:color w:val="00B050"/>
          <w:sz w:val="20"/>
          <w:szCs w:val="22"/>
        </w:rPr>
        <w:t>that it is unknown in advance which</w:t>
      </w:r>
      <w:r w:rsidR="004C2B74">
        <w:rPr>
          <w:rFonts w:ascii="Times New Roman" w:hAnsi="Times New Roman" w:cs="Times New Roman"/>
          <w:b/>
          <w:bCs/>
          <w:color w:val="00B050"/>
          <w:sz w:val="20"/>
          <w:szCs w:val="22"/>
        </w:rPr>
        <w:t xml:space="preserve"> of the two nodes carries the application session.</w:t>
      </w:r>
    </w:p>
    <w:p w14:paraId="61A5BF39" w14:textId="46B915DE" w:rsidR="003A27EF" w:rsidRDefault="003A27EF">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11</w:t>
      </w:r>
      <w:r>
        <w:rPr>
          <w:rFonts w:ascii="Times New Roman" w:hAnsi="Times New Roman" w:cs="Times New Roman"/>
          <w:b/>
          <w:bCs/>
          <w:color w:val="00B050"/>
          <w:sz w:val="20"/>
          <w:szCs w:val="22"/>
        </w:rPr>
        <w:t xml:space="preserve">: </w:t>
      </w:r>
      <w:r w:rsidR="008206FB">
        <w:rPr>
          <w:rFonts w:ascii="Times New Roman" w:hAnsi="Times New Roman" w:cs="Times New Roman"/>
          <w:b/>
          <w:bCs/>
          <w:color w:val="00B050"/>
          <w:sz w:val="20"/>
          <w:szCs w:val="22"/>
        </w:rPr>
        <w:t>RVQoE</w:t>
      </w:r>
      <w:r>
        <w:rPr>
          <w:rFonts w:ascii="Times New Roman" w:hAnsi="Times New Roman" w:cs="Times New Roman"/>
          <w:b/>
          <w:bCs/>
          <w:color w:val="00B050"/>
          <w:sz w:val="20"/>
          <w:szCs w:val="22"/>
        </w:rPr>
        <w:t xml:space="preserve"> configuration </w:t>
      </w:r>
      <w:r w:rsidR="00FA0726">
        <w:rPr>
          <w:rFonts w:ascii="Times New Roman" w:hAnsi="Times New Roman" w:cs="Times New Roman"/>
          <w:b/>
          <w:bCs/>
          <w:color w:val="00B050"/>
          <w:sz w:val="20"/>
          <w:szCs w:val="22"/>
        </w:rPr>
        <w:t xml:space="preserve">content </w:t>
      </w:r>
      <w:r>
        <w:rPr>
          <w:rFonts w:ascii="Times New Roman" w:hAnsi="Times New Roman" w:cs="Times New Roman"/>
          <w:b/>
          <w:bCs/>
          <w:color w:val="00B050"/>
          <w:sz w:val="20"/>
          <w:szCs w:val="22"/>
        </w:rPr>
        <w:t xml:space="preserve">can be </w:t>
      </w:r>
      <w:r w:rsidR="00276D49">
        <w:rPr>
          <w:rFonts w:ascii="Times New Roman" w:hAnsi="Times New Roman" w:cs="Times New Roman"/>
          <w:b/>
          <w:bCs/>
          <w:color w:val="00B050"/>
          <w:sz w:val="20"/>
          <w:szCs w:val="22"/>
        </w:rPr>
        <w:t>negotiated between the MN and the SN.</w:t>
      </w:r>
      <w:r>
        <w:rPr>
          <w:rFonts w:ascii="Times New Roman" w:hAnsi="Times New Roman" w:cs="Times New Roman"/>
          <w:b/>
          <w:bCs/>
          <w:color w:val="00B050"/>
          <w:sz w:val="20"/>
          <w:szCs w:val="22"/>
        </w:rPr>
        <w:t xml:space="preserve"> </w:t>
      </w:r>
    </w:p>
    <w:p w14:paraId="116029D5" w14:textId="0F44ED30" w:rsidR="008F7DE4" w:rsidRDefault="008F7DE4">
      <w:pPr>
        <w:spacing w:before="120" w:after="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9526D9">
        <w:rPr>
          <w:rFonts w:ascii="Times New Roman" w:hAnsi="Times New Roman" w:cs="Times New Roman"/>
          <w:b/>
          <w:bCs/>
          <w:color w:val="00B050"/>
          <w:sz w:val="20"/>
          <w:szCs w:val="22"/>
        </w:rPr>
        <w:t>12</w:t>
      </w:r>
      <w:r>
        <w:rPr>
          <w:rFonts w:ascii="Times New Roman" w:hAnsi="Times New Roman" w:cs="Times New Roman"/>
          <w:b/>
          <w:bCs/>
          <w:color w:val="00B050"/>
          <w:sz w:val="20"/>
          <w:szCs w:val="22"/>
        </w:rPr>
        <w:t xml:space="preserve">: </w:t>
      </w:r>
      <w:r w:rsidRPr="008F7DE4">
        <w:rPr>
          <w:rFonts w:ascii="Times New Roman" w:hAnsi="Times New Roman" w:cs="Times New Roman"/>
          <w:b/>
          <w:bCs/>
          <w:color w:val="00B050"/>
          <w:sz w:val="20"/>
          <w:szCs w:val="22"/>
        </w:rPr>
        <w:t>If only the SN is “interested” in RVQoE measurements from the UE (and the MN is not), the SN generates the RVQoE configuration</w:t>
      </w:r>
    </w:p>
    <w:p w14:paraId="1270F407" w14:textId="77777777" w:rsidR="008810FB" w:rsidRDefault="003F7AF3">
      <w:pPr>
        <w:pStyle w:val="Heading3"/>
        <w:spacing w:after="0"/>
        <w:rPr>
          <w:rFonts w:ascii="Arial" w:hAnsi="Arial" w:cs="Arial"/>
        </w:rPr>
      </w:pPr>
      <w:r>
        <w:rPr>
          <w:rFonts w:ascii="Arial" w:hAnsi="Arial" w:cs="Arial"/>
        </w:rPr>
        <w:t>RVQoE reporting</w:t>
      </w:r>
    </w:p>
    <w:p w14:paraId="124E7268" w14:textId="77777777" w:rsidR="008810FB" w:rsidRDefault="003F7AF3">
      <w:pPr>
        <w:spacing w:before="120" w:after="0"/>
        <w:rPr>
          <w:rFonts w:ascii="Times New Roman" w:hAnsi="Times New Roman" w:cs="Times New Roman"/>
          <w:b/>
          <w:bCs/>
          <w:sz w:val="20"/>
          <w:szCs w:val="20"/>
        </w:rPr>
      </w:pPr>
      <w:r>
        <w:rPr>
          <w:rFonts w:ascii="Times New Roman" w:hAnsi="Times New Roman" w:cs="Times New Roman"/>
          <w:b/>
          <w:bCs/>
          <w:sz w:val="20"/>
          <w:szCs w:val="22"/>
          <w:lang w:val="en-GB"/>
        </w:rPr>
        <w:t xml:space="preserve">Q4-2: </w:t>
      </w:r>
      <w:r>
        <w:rPr>
          <w:rFonts w:ascii="Times New Roman" w:hAnsi="Times New Roman" w:cs="Times New Roman"/>
          <w:b/>
          <w:bCs/>
          <w:sz w:val="20"/>
          <w:szCs w:val="20"/>
        </w:rPr>
        <w:t>With respect to RVQoE measurement reporting, do you agree that:</w:t>
      </w:r>
    </w:p>
    <w:p w14:paraId="6687CCA8" w14:textId="77777777" w:rsidR="008810FB" w:rsidRDefault="003F7AF3">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The following WA is turned into an agreement: “</w:t>
      </w:r>
      <w:r>
        <w:rPr>
          <w:rFonts w:ascii="Times New Roman" w:hAnsi="Times New Roman" w:cs="Times New Roman"/>
          <w:b/>
          <w:bCs/>
          <w:i/>
          <w:iCs/>
        </w:rPr>
        <w:t>WA: UE can send RVQoE report to MN, MN then forward the RVQoE report to SN if needed, and vice versa.”?</w:t>
      </w:r>
    </w:p>
    <w:p w14:paraId="02C330D0" w14:textId="77777777" w:rsidR="008810FB" w:rsidRDefault="003F7AF3">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Both MN and SN can receive RVQoE reports directly from the UE (not necessarily at the same time)?</w:t>
      </w:r>
    </w:p>
    <w:p w14:paraId="15343EA2" w14:textId="77777777" w:rsidR="008810FB" w:rsidRDefault="003F7AF3">
      <w:pPr>
        <w:pStyle w:val="ListParagraph"/>
        <w:numPr>
          <w:ilvl w:val="0"/>
          <w:numId w:val="23"/>
        </w:numPr>
        <w:spacing w:before="120" w:after="0"/>
        <w:jc w:val="left"/>
        <w:rPr>
          <w:rFonts w:ascii="Times New Roman" w:hAnsi="Times New Roman" w:cs="Times New Roman"/>
          <w:b/>
          <w:bCs/>
        </w:rPr>
      </w:pPr>
      <w:r>
        <w:rPr>
          <w:rFonts w:ascii="Times New Roman" w:hAnsi="Times New Roman" w:cs="Times New Roman"/>
          <w:b/>
          <w:bCs/>
        </w:rPr>
        <w:t>If the node carrying data for a service is different from the node receiving the corresponding RVQoE reports from the UE, the reporting leg for RVQoE can be changed so that the node carrying the session receives the RVQoE reports directly from the UE?</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64EE9A7C" w14:textId="77777777">
        <w:trPr>
          <w:trHeight w:val="325"/>
        </w:trPr>
        <w:tc>
          <w:tcPr>
            <w:tcW w:w="1378" w:type="dxa"/>
          </w:tcPr>
          <w:p w14:paraId="105380A2"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E7A7EA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6C5A72A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8810FB" w14:paraId="5CD113AF" w14:textId="77777777">
        <w:trPr>
          <w:trHeight w:val="357"/>
        </w:trPr>
        <w:tc>
          <w:tcPr>
            <w:tcW w:w="1378" w:type="dxa"/>
          </w:tcPr>
          <w:p w14:paraId="30A96B14"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6E7DA48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 to all</w:t>
            </w:r>
          </w:p>
        </w:tc>
        <w:tc>
          <w:tcPr>
            <w:tcW w:w="7200" w:type="dxa"/>
          </w:tcPr>
          <w:p w14:paraId="651E773C" w14:textId="77777777" w:rsidR="008810FB" w:rsidRDefault="008810FB">
            <w:pPr>
              <w:spacing w:before="120" w:after="0"/>
              <w:rPr>
                <w:rFonts w:ascii="Times New Roman" w:hAnsi="Times New Roman" w:cs="Times New Roman"/>
                <w:sz w:val="20"/>
                <w:szCs w:val="20"/>
                <w:lang w:val="en-GB"/>
              </w:rPr>
            </w:pPr>
          </w:p>
        </w:tc>
      </w:tr>
      <w:tr w:rsidR="008810FB" w14:paraId="57FB9299" w14:textId="77777777">
        <w:trPr>
          <w:trHeight w:val="342"/>
        </w:trPr>
        <w:tc>
          <w:tcPr>
            <w:tcW w:w="1378" w:type="dxa"/>
          </w:tcPr>
          <w:p w14:paraId="5BED071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2F35505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2B5753A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c)No</w:t>
            </w:r>
          </w:p>
        </w:tc>
        <w:tc>
          <w:tcPr>
            <w:tcW w:w="7200" w:type="dxa"/>
          </w:tcPr>
          <w:p w14:paraId="502FE1F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c), gNB is not aware of the service session.</w:t>
            </w:r>
          </w:p>
        </w:tc>
      </w:tr>
      <w:tr w:rsidR="008810FB" w14:paraId="1DAB9DC9" w14:textId="77777777">
        <w:trPr>
          <w:trHeight w:val="325"/>
        </w:trPr>
        <w:tc>
          <w:tcPr>
            <w:tcW w:w="1378" w:type="dxa"/>
          </w:tcPr>
          <w:p w14:paraId="6933CC53"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033276B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w:t>
            </w:r>
            <w:r>
              <w:rPr>
                <w:rFonts w:ascii="Times New Roman" w:eastAsiaTheme="minorEastAsia" w:hAnsi="Times New Roman" w:cs="Times New Roman" w:hint="eastAsia"/>
                <w:sz w:val="20"/>
                <w:szCs w:val="20"/>
                <w:lang w:val="en-GB" w:eastAsia="zh-CN"/>
              </w:rPr>
              <w:t>es to a, c.</w:t>
            </w:r>
          </w:p>
          <w:p w14:paraId="4200961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w:t>
            </w:r>
            <w:r>
              <w:rPr>
                <w:rFonts w:ascii="Times New Roman" w:eastAsiaTheme="minorEastAsia" w:hAnsi="Times New Roman" w:cs="Times New Roman" w:hint="eastAsia"/>
                <w:sz w:val="20"/>
                <w:szCs w:val="20"/>
                <w:lang w:val="en-GB" w:eastAsia="zh-CN"/>
              </w:rPr>
              <w:t>omments to b)</w:t>
            </w:r>
          </w:p>
        </w:tc>
        <w:tc>
          <w:tcPr>
            <w:tcW w:w="7200" w:type="dxa"/>
          </w:tcPr>
          <w:p w14:paraId="2B8B64E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w:t>
            </w:r>
            <w:r>
              <w:rPr>
                <w:rFonts w:ascii="Times New Roman" w:eastAsiaTheme="minorEastAsia" w:hAnsi="Times New Roman" w:cs="Times New Roman" w:hint="eastAsia"/>
                <w:sz w:val="20"/>
                <w:szCs w:val="20"/>
                <w:lang w:val="en-GB" w:eastAsia="zh-CN"/>
              </w:rPr>
              <w:t xml:space="preserve">or b),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“(not necessarily at the same time)”</w:t>
            </w:r>
            <w:r>
              <w:rPr>
                <w:rFonts w:ascii="Times New Roman" w:eastAsiaTheme="minorEastAsia" w:hAnsi="Times New Roman" w:cs="Times New Roman" w:hint="eastAsia"/>
                <w:sz w:val="20"/>
                <w:szCs w:val="20"/>
                <w:lang w:val="en-GB" w:eastAsia="zh-CN"/>
              </w:rPr>
              <w:t xml:space="preserve"> should be removed.  </w:t>
            </w:r>
            <w:r>
              <w:rPr>
                <w:rFonts w:ascii="Times New Roman" w:eastAsiaTheme="minorEastAsia" w:hAnsi="Times New Roman" w:cs="Times New Roman"/>
                <w:sz w:val="20"/>
                <w:szCs w:val="20"/>
                <w:lang w:val="en-GB" w:eastAsia="zh-CN"/>
              </w:rPr>
              <w:t>W</w:t>
            </w:r>
            <w:r>
              <w:rPr>
                <w:rFonts w:ascii="Times New Roman" w:eastAsiaTheme="minorEastAsia" w:hAnsi="Times New Roman" w:cs="Times New Roman" w:hint="eastAsia"/>
                <w:sz w:val="20"/>
                <w:szCs w:val="20"/>
                <w:lang w:val="en-GB" w:eastAsia="zh-CN"/>
              </w:rPr>
              <w:t xml:space="preserve">e should not preclude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two nodes can </w:t>
            </w:r>
            <w:r>
              <w:rPr>
                <w:rFonts w:ascii="Times New Roman" w:eastAsiaTheme="minorEastAsia" w:hAnsi="Times New Roman" w:cs="Times New Roman"/>
                <w:sz w:val="20"/>
                <w:szCs w:val="20"/>
                <w:lang w:val="en-GB" w:eastAsia="zh-CN"/>
              </w:rPr>
              <w:t>receive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RVQOE report at same time</w:t>
            </w:r>
          </w:p>
        </w:tc>
      </w:tr>
      <w:tr w:rsidR="008810FB" w14:paraId="46FBF541" w14:textId="77777777">
        <w:trPr>
          <w:trHeight w:val="342"/>
        </w:trPr>
        <w:tc>
          <w:tcPr>
            <w:tcW w:w="1378" w:type="dxa"/>
          </w:tcPr>
          <w:p w14:paraId="5BD0D8A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6142DB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 OK</w:t>
            </w:r>
          </w:p>
          <w:p w14:paraId="7F2AEEB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 Need clarification</w:t>
            </w:r>
          </w:p>
          <w:p w14:paraId="2D15D574"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 No</w:t>
            </w:r>
          </w:p>
        </w:tc>
        <w:tc>
          <w:tcPr>
            <w:tcW w:w="7200" w:type="dxa"/>
          </w:tcPr>
          <w:p w14:paraId="39AA824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 on b):</w:t>
            </w:r>
          </w:p>
          <w:p w14:paraId="5D55C8E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Both MN and SN can receive RVQoE reports </w:t>
            </w:r>
            <w:r>
              <w:rPr>
                <w:rFonts w:ascii="Times New Roman" w:eastAsiaTheme="minorEastAsia" w:hAnsi="Times New Roman" w:cs="Times New Roman"/>
                <w:b/>
                <w:bCs/>
                <w:sz w:val="20"/>
                <w:szCs w:val="20"/>
                <w:lang w:val="en-GB" w:eastAsia="zh-CN"/>
              </w:rPr>
              <w:t>directly</w:t>
            </w:r>
            <w:r>
              <w:rPr>
                <w:rFonts w:ascii="Times New Roman" w:eastAsiaTheme="minorEastAsia" w:hAnsi="Times New Roman" w:cs="Times New Roman"/>
                <w:sz w:val="20"/>
                <w:szCs w:val="20"/>
                <w:lang w:val="en-GB" w:eastAsia="zh-CN"/>
              </w:rPr>
              <w:t xml:space="preserve"> from the UE at the </w:t>
            </w:r>
            <w:r>
              <w:rPr>
                <w:rFonts w:ascii="Times New Roman" w:eastAsiaTheme="minorEastAsia" w:hAnsi="Times New Roman" w:cs="Times New Roman"/>
                <w:b/>
                <w:bCs/>
                <w:sz w:val="20"/>
                <w:szCs w:val="20"/>
                <w:u w:val="single"/>
                <w:lang w:val="en-GB" w:eastAsia="zh-CN"/>
              </w:rPr>
              <w:t>same time</w:t>
            </w:r>
            <w:r>
              <w:rPr>
                <w:rFonts w:ascii="Times New Roman" w:eastAsiaTheme="minorEastAsia" w:hAnsi="Times New Roman" w:cs="Times New Roman"/>
                <w:sz w:val="20"/>
                <w:szCs w:val="20"/>
                <w:lang w:val="en-GB" w:eastAsia="zh-CN"/>
              </w:rPr>
              <w:t xml:space="preserve"> </w:t>
            </w:r>
            <w:r>
              <w:rPr>
                <w:rFonts w:ascii="Wingdings" w:eastAsiaTheme="minorEastAsia" w:hAnsi="Wingdings" w:cs="Wingdings"/>
                <w:sz w:val="20"/>
                <w:szCs w:val="20"/>
                <w:lang w:val="en-GB" w:eastAsia="zh-CN"/>
              </w:rPr>
              <w:sym w:font="Wingdings" w:char="F0E0"/>
            </w:r>
            <w:r>
              <w:rPr>
                <w:rFonts w:ascii="Times New Roman" w:eastAsiaTheme="minorEastAsia" w:hAnsi="Times New Roman" w:cs="Times New Roman"/>
                <w:sz w:val="20"/>
                <w:szCs w:val="20"/>
                <w:lang w:val="en-GB" w:eastAsia="zh-CN"/>
              </w:rPr>
              <w:t xml:space="preserve"> This needs SRB4 and SRB5 to be setup at the same time; whether this is to be supported is not yet clear as mentioned in Q3-1.</w:t>
            </w:r>
          </w:p>
          <w:p w14:paraId="3F08DBD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Both MN and SN can receive RVQoE reports </w:t>
            </w:r>
            <w:r>
              <w:rPr>
                <w:rFonts w:ascii="Times New Roman" w:eastAsiaTheme="minorEastAsia" w:hAnsi="Times New Roman" w:cs="Times New Roman"/>
                <w:b/>
                <w:bCs/>
                <w:sz w:val="20"/>
                <w:szCs w:val="20"/>
                <w:lang w:val="en-GB" w:eastAsia="zh-CN"/>
              </w:rPr>
              <w:t>directly</w:t>
            </w:r>
            <w:r>
              <w:rPr>
                <w:rFonts w:ascii="Times New Roman" w:eastAsiaTheme="minorEastAsia" w:hAnsi="Times New Roman" w:cs="Times New Roman"/>
                <w:sz w:val="20"/>
                <w:szCs w:val="20"/>
                <w:lang w:val="en-GB" w:eastAsia="zh-CN"/>
              </w:rPr>
              <w:t xml:space="preserve"> from the UE at </w:t>
            </w:r>
            <w:r>
              <w:rPr>
                <w:rFonts w:ascii="Times New Roman" w:eastAsiaTheme="minorEastAsia" w:hAnsi="Times New Roman" w:cs="Times New Roman"/>
                <w:b/>
                <w:bCs/>
                <w:sz w:val="20"/>
                <w:szCs w:val="20"/>
                <w:u w:val="single"/>
                <w:lang w:val="en-GB" w:eastAsia="zh-CN"/>
              </w:rPr>
              <w:t>different times</w:t>
            </w:r>
            <w:r>
              <w:rPr>
                <w:rFonts w:ascii="Times New Roman" w:eastAsiaTheme="minorEastAsia" w:hAnsi="Times New Roman" w:cs="Times New Roman"/>
                <w:sz w:val="20"/>
                <w:szCs w:val="20"/>
                <w:lang w:val="en-GB" w:eastAsia="zh-CN"/>
              </w:rPr>
              <w:t xml:space="preserve"> </w:t>
            </w:r>
            <w:r>
              <w:rPr>
                <w:rFonts w:ascii="Wingdings" w:eastAsiaTheme="minorEastAsia" w:hAnsi="Wingdings" w:cs="Wingdings"/>
                <w:sz w:val="20"/>
                <w:szCs w:val="20"/>
                <w:lang w:val="en-GB" w:eastAsia="zh-CN"/>
              </w:rPr>
              <w:sym w:font="Wingdings" w:char="F0E0"/>
            </w:r>
            <w:r>
              <w:rPr>
                <w:rFonts w:ascii="Times New Roman" w:eastAsiaTheme="minorEastAsia" w:hAnsi="Times New Roman" w:cs="Times New Roman"/>
                <w:sz w:val="20"/>
                <w:szCs w:val="20"/>
                <w:lang w:val="en-GB" w:eastAsia="zh-CN"/>
              </w:rPr>
              <w:t xml:space="preserve"> Does this also need SRB4 and SRB5 to be setup at the same time and we can dynamically switch between SRB4 and SRB5 without needing to setup/release?</w:t>
            </w:r>
          </w:p>
          <w:p w14:paraId="51E7DC51"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rPr>
              <w:t>c – If a) is agreed, why do we need c) (to save backhaul load?). Also switching reporting leg is mainly for overload scenario and not for this case</w:t>
            </w:r>
          </w:p>
        </w:tc>
      </w:tr>
      <w:tr w:rsidR="008810FB" w14:paraId="3DDEB641" w14:textId="77777777">
        <w:trPr>
          <w:trHeight w:val="325"/>
        </w:trPr>
        <w:tc>
          <w:tcPr>
            <w:tcW w:w="1378" w:type="dxa"/>
          </w:tcPr>
          <w:p w14:paraId="4AFC92AF"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1209" w:type="dxa"/>
          </w:tcPr>
          <w:p w14:paraId="569415C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for all</w:t>
            </w:r>
          </w:p>
        </w:tc>
        <w:tc>
          <w:tcPr>
            <w:tcW w:w="7200" w:type="dxa"/>
          </w:tcPr>
          <w:p w14:paraId="0A140A60"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5CEDD533" w14:textId="77777777">
        <w:trPr>
          <w:trHeight w:val="342"/>
        </w:trPr>
        <w:tc>
          <w:tcPr>
            <w:tcW w:w="1378" w:type="dxa"/>
          </w:tcPr>
          <w:p w14:paraId="2402A9FE"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1540289A" w14:textId="77777777" w:rsidR="008810FB" w:rsidRDefault="003F7AF3">
            <w:pPr>
              <w:numPr>
                <w:ilvl w:val="0"/>
                <w:numId w:val="24"/>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b) - Yes</w:t>
            </w:r>
          </w:p>
          <w:p w14:paraId="59625FA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 see comments</w:t>
            </w:r>
          </w:p>
        </w:tc>
        <w:tc>
          <w:tcPr>
            <w:tcW w:w="7200" w:type="dxa"/>
          </w:tcPr>
          <w:p w14:paraId="2DFD77D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 and b) can cover all the cases we cared about, e.g. SN received the RVQoE report direct from UE but it is the interest of MN, etc. With a) and b) supported, MN and SN can both be able to receive RVQoE reports (no matter whether the report is needed by MN/SN), and XnAP can allow them to share with each other the reports received. Seems fair enough.</w:t>
            </w:r>
          </w:p>
          <w:p w14:paraId="6FEB66F1"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 this is related to another question: </w:t>
            </w:r>
          </w:p>
          <w:p w14:paraId="34D924B6" w14:textId="77777777" w:rsidR="008810FB" w:rsidRDefault="003F7AF3">
            <w:pPr>
              <w:spacing w:before="120" w:after="0"/>
              <w:rPr>
                <w:rFonts w:ascii="Times New Roman" w:eastAsiaTheme="minorEastAsia" w:hAnsi="Times New Roman" w:cs="Times New Roman"/>
                <w:b/>
                <w:bCs/>
                <w:sz w:val="20"/>
                <w:szCs w:val="20"/>
                <w:lang w:eastAsia="zh-CN"/>
              </w:rPr>
            </w:pPr>
            <w:r>
              <w:rPr>
                <w:rFonts w:ascii="Times New Roman" w:eastAsiaTheme="minorEastAsia" w:hAnsi="Times New Roman" w:cs="Times New Roman" w:hint="eastAsia"/>
                <w:b/>
                <w:bCs/>
                <w:sz w:val="20"/>
                <w:szCs w:val="20"/>
                <w:lang w:eastAsia="zh-CN"/>
              </w:rPr>
              <w:t xml:space="preserve">How to decide the reporting leg for RVQoE? Or should the reporting leg indication for legacy QoE also applies to RVQoE? </w:t>
            </w:r>
          </w:p>
          <w:p w14:paraId="15CC628F" w14:textId="29DB8720" w:rsidR="008810FB" w:rsidRPr="00FE53C3"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Note that the overload indication defined in R17 would not affect RVQoE reporting. But we are not sure in NR-DC, whether the reporting RVQoE would be affected by any specific situation, including the case mentioned in c).</w:t>
            </w:r>
          </w:p>
        </w:tc>
      </w:tr>
      <w:tr w:rsidR="008810FB" w14:paraId="55966CBB" w14:textId="77777777">
        <w:trPr>
          <w:trHeight w:val="342"/>
        </w:trPr>
        <w:tc>
          <w:tcPr>
            <w:tcW w:w="1378" w:type="dxa"/>
          </w:tcPr>
          <w:p w14:paraId="2B18E9C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75CD78D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 to a)</w:t>
            </w:r>
          </w:p>
        </w:tc>
        <w:tc>
          <w:tcPr>
            <w:tcW w:w="7200" w:type="dxa"/>
          </w:tcPr>
          <w:p w14:paraId="66A1D27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b), does that mean QoE report and visible report could be separated? Maybe this makes things complicated;</w:t>
            </w:r>
          </w:p>
          <w:p w14:paraId="6914949E"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c), the simpler way is just to forward to the other node, then it is up to this node whether to use it or not.</w:t>
            </w:r>
          </w:p>
        </w:tc>
      </w:tr>
      <w:tr w:rsidR="008810FB" w14:paraId="03C53BA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6D61B07"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5ED78DE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b): Yes</w:t>
            </w:r>
          </w:p>
          <w:p w14:paraId="0E6B666E"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c): No</w:t>
            </w:r>
          </w:p>
        </w:tc>
        <w:tc>
          <w:tcPr>
            <w:tcW w:w="7200" w:type="dxa"/>
            <w:tcBorders>
              <w:top w:val="single" w:sz="4" w:space="0" w:color="auto"/>
              <w:left w:val="single" w:sz="4" w:space="0" w:color="auto"/>
              <w:bottom w:val="single" w:sz="4" w:space="0" w:color="auto"/>
              <w:right w:val="single" w:sz="4" w:space="0" w:color="auto"/>
            </w:tcBorders>
          </w:tcPr>
          <w:p w14:paraId="49455470"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ok for b) under the assumption that </w:t>
            </w:r>
            <w:r>
              <w:rPr>
                <w:rFonts w:ascii="Times New Roman" w:eastAsiaTheme="minorEastAsia" w:hAnsi="Times New Roman" w:cs="Times New Roman"/>
                <w:sz w:val="20"/>
                <w:szCs w:val="20"/>
                <w:lang w:val="en-GB" w:eastAsia="zh-CN"/>
              </w:rPr>
              <w:t>QoE report and visible report are not separated</w:t>
            </w:r>
          </w:p>
        </w:tc>
      </w:tr>
      <w:tr w:rsidR="008810FB" w14:paraId="5A93779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08E763F"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345B1D0A" w14:textId="77777777" w:rsidR="008810FB" w:rsidRDefault="003F7AF3">
            <w:pPr>
              <w:numPr>
                <w:ilvl w:val="0"/>
                <w:numId w:val="25"/>
              </w:num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 Yes</w:t>
            </w:r>
          </w:p>
          <w:p w14:paraId="2675CD6B"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c)No</w:t>
            </w:r>
          </w:p>
        </w:tc>
        <w:tc>
          <w:tcPr>
            <w:tcW w:w="7200" w:type="dxa"/>
            <w:tcBorders>
              <w:top w:val="single" w:sz="4" w:space="0" w:color="auto"/>
              <w:left w:val="single" w:sz="4" w:space="0" w:color="auto"/>
              <w:bottom w:val="single" w:sz="4" w:space="0" w:color="auto"/>
              <w:right w:val="single" w:sz="4" w:space="0" w:color="auto"/>
            </w:tcBorders>
          </w:tcPr>
          <w:p w14:paraId="105651F9" w14:textId="77777777" w:rsidR="008810FB" w:rsidRDefault="003F7AF3">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 xml:space="preserve">c) Agree with Xiaomi, </w:t>
            </w:r>
            <w:r>
              <w:rPr>
                <w:rFonts w:ascii="Times New Roman" w:eastAsiaTheme="minorEastAsia" w:hAnsi="Times New Roman" w:cs="Times New Roman"/>
                <w:sz w:val="20"/>
                <w:szCs w:val="20"/>
                <w:lang w:val="en-GB" w:eastAsia="zh-CN"/>
              </w:rPr>
              <w:t>gNB is not aware of the service session.</w:t>
            </w:r>
          </w:p>
        </w:tc>
      </w:tr>
      <w:tr w:rsidR="009D471B" w14:paraId="306E8AA9"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666026FC"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1C47BCC"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A,b</w:t>
            </w:r>
          </w:p>
        </w:tc>
        <w:tc>
          <w:tcPr>
            <w:tcW w:w="7200" w:type="dxa"/>
            <w:tcBorders>
              <w:top w:val="single" w:sz="4" w:space="0" w:color="auto"/>
              <w:left w:val="single" w:sz="4" w:space="0" w:color="auto"/>
              <w:bottom w:val="single" w:sz="4" w:space="0" w:color="auto"/>
              <w:right w:val="single" w:sz="4" w:space="0" w:color="auto"/>
            </w:tcBorders>
          </w:tcPr>
          <w:p w14:paraId="39CE0A51" w14:textId="77777777" w:rsidR="009D471B" w:rsidRPr="00F2293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 can be up to implementation if we support leg switching, and no need to mandate such behaviour.</w:t>
            </w:r>
          </w:p>
        </w:tc>
      </w:tr>
    </w:tbl>
    <w:p w14:paraId="1D0A6A14" w14:textId="4844D3B7" w:rsidR="008810FB" w:rsidRDefault="00C73477">
      <w:pPr>
        <w:spacing w:before="120" w:after="0"/>
        <w:ind w:left="-90"/>
        <w:rPr>
          <w:rFonts w:ascii="Times New Roman" w:hAnsi="Times New Roman" w:cs="Times New Roman"/>
          <w:b/>
          <w:bCs/>
          <w:color w:val="00B050"/>
          <w:sz w:val="20"/>
          <w:szCs w:val="22"/>
        </w:rPr>
      </w:pPr>
      <w:r w:rsidRPr="00C73477">
        <w:rPr>
          <w:rFonts w:ascii="Times New Roman" w:hAnsi="Times New Roman" w:cs="Times New Roman"/>
          <w:b/>
          <w:bCs/>
          <w:color w:val="00B050"/>
          <w:sz w:val="20"/>
          <w:szCs w:val="22"/>
        </w:rPr>
        <w:t>Proposal</w:t>
      </w:r>
      <w:r>
        <w:rPr>
          <w:rFonts w:ascii="Times New Roman" w:hAnsi="Times New Roman" w:cs="Times New Roman"/>
          <w:b/>
          <w:bCs/>
          <w:color w:val="00B050"/>
          <w:sz w:val="20"/>
          <w:szCs w:val="22"/>
        </w:rPr>
        <w:t xml:space="preserve"> </w:t>
      </w:r>
      <w:r w:rsidR="00641455">
        <w:rPr>
          <w:rFonts w:ascii="Times New Roman" w:hAnsi="Times New Roman" w:cs="Times New Roman"/>
          <w:b/>
          <w:bCs/>
          <w:color w:val="00B050"/>
          <w:sz w:val="20"/>
          <w:szCs w:val="22"/>
        </w:rPr>
        <w:t>13</w:t>
      </w:r>
      <w:r w:rsidRPr="00C73477">
        <w:rPr>
          <w:rFonts w:ascii="Times New Roman" w:hAnsi="Times New Roman" w:cs="Times New Roman"/>
          <w:b/>
          <w:bCs/>
          <w:color w:val="00B050"/>
          <w:sz w:val="20"/>
          <w:szCs w:val="22"/>
        </w:rPr>
        <w:t xml:space="preserve">: </w:t>
      </w:r>
      <w:r w:rsidR="00CF5D95">
        <w:rPr>
          <w:rFonts w:ascii="Times New Roman" w:hAnsi="Times New Roman" w:cs="Times New Roman"/>
          <w:b/>
          <w:bCs/>
          <w:color w:val="00B050"/>
          <w:sz w:val="20"/>
          <w:szCs w:val="22"/>
        </w:rPr>
        <w:t>Turn the following WA into an agreement: “</w:t>
      </w:r>
      <w:r w:rsidRPr="00C73477">
        <w:rPr>
          <w:rFonts w:ascii="Times New Roman" w:hAnsi="Times New Roman" w:cs="Times New Roman"/>
          <w:b/>
          <w:bCs/>
          <w:color w:val="00B050"/>
          <w:sz w:val="20"/>
          <w:szCs w:val="22"/>
        </w:rPr>
        <w:t xml:space="preserve">UE can send RVQoE report to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 xml:space="preserve">MN then forward the RVQoE report to </w:t>
      </w:r>
      <w:r w:rsidR="00B045A2">
        <w:rPr>
          <w:rFonts w:ascii="Times New Roman" w:hAnsi="Times New Roman" w:cs="Times New Roman"/>
          <w:b/>
          <w:bCs/>
          <w:color w:val="00B050"/>
          <w:sz w:val="20"/>
          <w:szCs w:val="22"/>
        </w:rPr>
        <w:t xml:space="preserve">the </w:t>
      </w:r>
      <w:r w:rsidRPr="00C73477">
        <w:rPr>
          <w:rFonts w:ascii="Times New Roman" w:hAnsi="Times New Roman" w:cs="Times New Roman"/>
          <w:b/>
          <w:bCs/>
          <w:color w:val="00B050"/>
          <w:sz w:val="20"/>
          <w:szCs w:val="22"/>
        </w:rPr>
        <w:t>SN if needed, and vice versa</w:t>
      </w:r>
      <w:r w:rsidR="00CF5D95">
        <w:rPr>
          <w:rFonts w:ascii="Times New Roman" w:hAnsi="Times New Roman" w:cs="Times New Roman"/>
          <w:b/>
          <w:bCs/>
          <w:color w:val="00B050"/>
          <w:sz w:val="20"/>
          <w:szCs w:val="22"/>
        </w:rPr>
        <w:t>”</w:t>
      </w:r>
      <w:r w:rsidRPr="00C73477">
        <w:rPr>
          <w:rFonts w:ascii="Times New Roman" w:hAnsi="Times New Roman" w:cs="Times New Roman"/>
          <w:b/>
          <w:bCs/>
          <w:color w:val="00B050"/>
          <w:sz w:val="20"/>
          <w:szCs w:val="22"/>
        </w:rPr>
        <w:t>.</w:t>
      </w:r>
    </w:p>
    <w:p w14:paraId="7E02C4ED" w14:textId="765E3AC7" w:rsidR="0068187F" w:rsidRPr="00C73477" w:rsidRDefault="0068187F">
      <w:pPr>
        <w:spacing w:before="120" w:after="0"/>
        <w:ind w:left="-90"/>
        <w:rPr>
          <w:rFonts w:ascii="Times New Roman" w:hAnsi="Times New Roman" w:cs="Times New Roman"/>
          <w:b/>
          <w:bCs/>
          <w:color w:val="00B050"/>
          <w:sz w:val="20"/>
          <w:szCs w:val="22"/>
        </w:rPr>
      </w:pPr>
      <w:r>
        <w:rPr>
          <w:rFonts w:ascii="Times New Roman" w:hAnsi="Times New Roman" w:cs="Times New Roman"/>
          <w:b/>
          <w:bCs/>
          <w:color w:val="00B050"/>
          <w:sz w:val="20"/>
          <w:szCs w:val="22"/>
        </w:rPr>
        <w:t xml:space="preserve">Proposal </w:t>
      </w:r>
      <w:r w:rsidR="00641455">
        <w:rPr>
          <w:rFonts w:ascii="Times New Roman" w:hAnsi="Times New Roman" w:cs="Times New Roman"/>
          <w:b/>
          <w:bCs/>
          <w:color w:val="00B050"/>
          <w:sz w:val="20"/>
          <w:szCs w:val="22"/>
        </w:rPr>
        <w:t>14</w:t>
      </w:r>
      <w:r w:rsidR="00263F55">
        <w:rPr>
          <w:rFonts w:ascii="Times New Roman" w:hAnsi="Times New Roman" w:cs="Times New Roman"/>
          <w:b/>
          <w:bCs/>
          <w:color w:val="00B050"/>
          <w:sz w:val="20"/>
          <w:szCs w:val="22"/>
        </w:rPr>
        <w:t xml:space="preserve">: </w:t>
      </w:r>
      <w:r w:rsidR="008E3293" w:rsidRPr="008E3293">
        <w:rPr>
          <w:rFonts w:ascii="Times New Roman" w:hAnsi="Times New Roman" w:cs="Times New Roman"/>
          <w:b/>
          <w:bCs/>
          <w:color w:val="00B050"/>
          <w:sz w:val="20"/>
          <w:szCs w:val="22"/>
        </w:rPr>
        <w:t xml:space="preserve">Both </w:t>
      </w:r>
      <w:r w:rsidR="00B045A2">
        <w:rPr>
          <w:rFonts w:ascii="Times New Roman" w:hAnsi="Times New Roman" w:cs="Times New Roman"/>
          <w:b/>
          <w:bCs/>
          <w:color w:val="00B050"/>
          <w:sz w:val="20"/>
          <w:szCs w:val="22"/>
        </w:rPr>
        <w:t xml:space="preserve">the </w:t>
      </w:r>
      <w:r w:rsidR="008E3293" w:rsidRPr="008E3293">
        <w:rPr>
          <w:rFonts w:ascii="Times New Roman" w:hAnsi="Times New Roman" w:cs="Times New Roman"/>
          <w:b/>
          <w:bCs/>
          <w:color w:val="00B050"/>
          <w:sz w:val="20"/>
          <w:szCs w:val="22"/>
        </w:rPr>
        <w:t xml:space="preserve">MN and </w:t>
      </w:r>
      <w:r w:rsidR="00B045A2">
        <w:rPr>
          <w:rFonts w:ascii="Times New Roman" w:hAnsi="Times New Roman" w:cs="Times New Roman"/>
          <w:b/>
          <w:bCs/>
          <w:color w:val="00B050"/>
          <w:sz w:val="20"/>
          <w:szCs w:val="22"/>
        </w:rPr>
        <w:t xml:space="preserve">the </w:t>
      </w:r>
      <w:r w:rsidR="008E3293" w:rsidRPr="008E3293">
        <w:rPr>
          <w:rFonts w:ascii="Times New Roman" w:hAnsi="Times New Roman" w:cs="Times New Roman"/>
          <w:b/>
          <w:bCs/>
          <w:color w:val="00B050"/>
          <w:sz w:val="20"/>
          <w:szCs w:val="22"/>
        </w:rPr>
        <w:t xml:space="preserve">SN can receive RVQoE reports directly from the </w:t>
      </w:r>
      <w:r w:rsidR="008E3293">
        <w:rPr>
          <w:rFonts w:ascii="Times New Roman" w:hAnsi="Times New Roman" w:cs="Times New Roman"/>
          <w:b/>
          <w:bCs/>
          <w:color w:val="00B050"/>
          <w:sz w:val="20"/>
          <w:szCs w:val="22"/>
        </w:rPr>
        <w:t>UE.</w:t>
      </w:r>
    </w:p>
    <w:p w14:paraId="03334139" w14:textId="445232FF" w:rsidR="00A6588A" w:rsidRDefault="00443088">
      <w:pPr>
        <w:spacing w:before="120" w:after="0"/>
        <w:ind w:left="-90"/>
        <w:rPr>
          <w:rFonts w:ascii="Times New Roman" w:hAnsi="Times New Roman" w:cs="Times New Roman"/>
          <w:b/>
          <w:bCs/>
          <w:color w:val="0070C0"/>
          <w:sz w:val="20"/>
          <w:szCs w:val="22"/>
        </w:rPr>
      </w:pPr>
      <w:r w:rsidRPr="00443088">
        <w:rPr>
          <w:rFonts w:ascii="Times New Roman" w:hAnsi="Times New Roman" w:cs="Times New Roman"/>
          <w:b/>
          <w:bCs/>
          <w:color w:val="0070C0"/>
          <w:sz w:val="20"/>
          <w:szCs w:val="22"/>
        </w:rPr>
        <w:t xml:space="preserve">If the node carrying data for a service is different from the node receiving the corresponding RVQoE reports from the UE, </w:t>
      </w:r>
      <w:r>
        <w:rPr>
          <w:rFonts w:ascii="Times New Roman" w:hAnsi="Times New Roman" w:cs="Times New Roman"/>
          <w:b/>
          <w:bCs/>
          <w:color w:val="0070C0"/>
          <w:sz w:val="20"/>
          <w:szCs w:val="22"/>
        </w:rPr>
        <w:t xml:space="preserve">whether </w:t>
      </w:r>
      <w:r w:rsidRPr="00443088">
        <w:rPr>
          <w:rFonts w:ascii="Times New Roman" w:hAnsi="Times New Roman" w:cs="Times New Roman"/>
          <w:b/>
          <w:bCs/>
          <w:color w:val="0070C0"/>
          <w:sz w:val="20"/>
          <w:szCs w:val="22"/>
        </w:rPr>
        <w:t xml:space="preserve">the reporting leg for RVQoE can be changed so that the node carrying the session receives the RVQoE reports directly from the </w:t>
      </w:r>
      <w:r w:rsidR="00694EAC">
        <w:rPr>
          <w:rFonts w:ascii="Times New Roman" w:hAnsi="Times New Roman" w:cs="Times New Roman"/>
          <w:b/>
          <w:bCs/>
          <w:color w:val="0070C0"/>
          <w:sz w:val="20"/>
          <w:szCs w:val="22"/>
        </w:rPr>
        <w:t>UE.</w:t>
      </w:r>
    </w:p>
    <w:p w14:paraId="5AA66CF1" w14:textId="77777777" w:rsidR="008810FB" w:rsidRDefault="003F7AF3">
      <w:pPr>
        <w:pStyle w:val="Heading3"/>
        <w:spacing w:after="0"/>
        <w:rPr>
          <w:rFonts w:ascii="Arial" w:hAnsi="Arial" w:cs="Arial"/>
        </w:rPr>
      </w:pPr>
      <w:r>
        <w:rPr>
          <w:rFonts w:ascii="Arial" w:hAnsi="Arial" w:cs="Arial"/>
        </w:rPr>
        <w:t>Determining which node delivers the application session to the UE</w:t>
      </w:r>
    </w:p>
    <w:p w14:paraId="3DAE3184" w14:textId="77777777" w:rsidR="008810FB" w:rsidRDefault="003F7AF3">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Q4-3: Should RAN3 discuss how the MN/SN can learn which of them carries the data for an application session subject to RVQoE measurements? If not, why?</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8810FB" w14:paraId="6B04771C" w14:textId="77777777">
        <w:trPr>
          <w:trHeight w:val="325"/>
        </w:trPr>
        <w:tc>
          <w:tcPr>
            <w:tcW w:w="1378" w:type="dxa"/>
          </w:tcPr>
          <w:p w14:paraId="5EAE783B"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6647631F"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5BB2877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8810FB" w14:paraId="3AED6F43" w14:textId="77777777">
        <w:trPr>
          <w:trHeight w:val="357"/>
        </w:trPr>
        <w:tc>
          <w:tcPr>
            <w:tcW w:w="1378" w:type="dxa"/>
          </w:tcPr>
          <w:p w14:paraId="255A6FEC"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1984893A" w14:textId="77777777" w:rsidR="008810FB" w:rsidRDefault="003F7AF3">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200" w:type="dxa"/>
          </w:tcPr>
          <w:p w14:paraId="0C913D68" w14:textId="77777777" w:rsidR="008810FB" w:rsidRDefault="003F7AF3">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This is needed because </w:t>
            </w:r>
            <w:r>
              <w:rPr>
                <w:rFonts w:ascii="Times New Roman" w:hAnsi="Times New Roman" w:cs="Times New Roman"/>
                <w:b/>
                <w:bCs/>
                <w:sz w:val="20"/>
                <w:szCs w:val="20"/>
                <w:lang w:val="en-GB"/>
              </w:rPr>
              <w:t>the node that carries the application session must be able to receive the corresponding RVQoE reports.</w:t>
            </w:r>
          </w:p>
        </w:tc>
      </w:tr>
      <w:tr w:rsidR="008810FB" w14:paraId="55457DD2" w14:textId="77777777">
        <w:trPr>
          <w:trHeight w:val="342"/>
        </w:trPr>
        <w:tc>
          <w:tcPr>
            <w:tcW w:w="1378" w:type="dxa"/>
          </w:tcPr>
          <w:p w14:paraId="41D224D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Xiaomi</w:t>
            </w:r>
          </w:p>
        </w:tc>
        <w:tc>
          <w:tcPr>
            <w:tcW w:w="1209" w:type="dxa"/>
          </w:tcPr>
          <w:p w14:paraId="35DB7112"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3E8D7EC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gNB is not aware of the application session.</w:t>
            </w:r>
          </w:p>
        </w:tc>
      </w:tr>
      <w:tr w:rsidR="008810FB" w14:paraId="3E356805" w14:textId="77777777">
        <w:trPr>
          <w:trHeight w:val="325"/>
        </w:trPr>
        <w:tc>
          <w:tcPr>
            <w:tcW w:w="1378" w:type="dxa"/>
          </w:tcPr>
          <w:p w14:paraId="65F8BFD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209" w:type="dxa"/>
          </w:tcPr>
          <w:p w14:paraId="12E4CA84"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Pr>
          <w:p w14:paraId="6E39E5E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 xml:space="preserve">gree with Xiaomi, we cannot get this information. </w:t>
            </w:r>
            <w:r>
              <w:rPr>
                <w:rFonts w:ascii="Times New Roman" w:eastAsiaTheme="minorEastAsia" w:hAnsi="Times New Roman" w:cs="Times New Roman"/>
                <w:sz w:val="20"/>
                <w:szCs w:val="20"/>
                <w:lang w:val="en-GB" w:eastAsia="zh-CN"/>
              </w:rPr>
              <w:t xml:space="preserve">The </w:t>
            </w:r>
            <w:r>
              <w:rPr>
                <w:rFonts w:ascii="Times New Roman" w:eastAsiaTheme="minorEastAsia" w:hAnsi="Times New Roman" w:cs="Times New Roman" w:hint="eastAsia"/>
                <w:sz w:val="20"/>
                <w:szCs w:val="20"/>
                <w:lang w:val="en-GB" w:eastAsia="zh-CN"/>
              </w:rPr>
              <w:t xml:space="preserve"> application session is bound to QoS flow and the </w:t>
            </w:r>
            <w:r>
              <w:rPr>
                <w:rFonts w:ascii="Times New Roman" w:eastAsiaTheme="minorEastAsia" w:hAnsi="Times New Roman" w:cs="Times New Roman"/>
                <w:sz w:val="20"/>
                <w:szCs w:val="20"/>
                <w:lang w:val="en-GB" w:eastAsia="zh-CN"/>
              </w:rPr>
              <w:t>information</w:t>
            </w:r>
            <w:r>
              <w:rPr>
                <w:rFonts w:ascii="Times New Roman" w:eastAsiaTheme="minorEastAsia" w:hAnsi="Times New Roman" w:cs="Times New Roman" w:hint="eastAsia"/>
                <w:sz w:val="20"/>
                <w:szCs w:val="20"/>
                <w:lang w:val="en-GB" w:eastAsia="zh-CN"/>
              </w:rPr>
              <w:t xml:space="preserve"> cannot be aware by network</w:t>
            </w:r>
          </w:p>
        </w:tc>
      </w:tr>
      <w:tr w:rsidR="008810FB" w14:paraId="0F27C07F" w14:textId="77777777">
        <w:trPr>
          <w:trHeight w:val="342"/>
        </w:trPr>
        <w:tc>
          <w:tcPr>
            <w:tcW w:w="1378" w:type="dxa"/>
          </w:tcPr>
          <w:p w14:paraId="21E45BF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50A8C588"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Need clarification</w:t>
            </w:r>
          </w:p>
        </w:tc>
        <w:tc>
          <w:tcPr>
            <w:tcW w:w="7200" w:type="dxa"/>
          </w:tcPr>
          <w:p w14:paraId="75AED216"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Two potential solutions are proposed in R3-225558</w:t>
            </w:r>
          </w:p>
          <w:p w14:paraId="4EBE9478" w14:textId="77777777" w:rsidR="008810FB" w:rsidRDefault="003F7AF3">
            <w:pPr>
              <w:pStyle w:val="ListParagraph"/>
              <w:numPr>
                <w:ilvl w:val="0"/>
                <w:numId w:val="26"/>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Option 1: Network can learn with the help of the UE. Since the UE knows whether the MN or the SN delivers the application session, the </w:t>
            </w:r>
            <w:r>
              <w:rPr>
                <w:rFonts w:ascii="Times New Roman" w:eastAsiaTheme="minorEastAsia" w:hAnsi="Times New Roman" w:cs="Times New Roman"/>
                <w:b/>
                <w:bCs/>
                <w:u w:val="single"/>
              </w:rPr>
              <w:t>UE may indicate this to the network via SRB4</w:t>
            </w:r>
            <w:r>
              <w:rPr>
                <w:rFonts w:ascii="Times New Roman" w:eastAsiaTheme="minorEastAsia" w:hAnsi="Times New Roman" w:cs="Times New Roman"/>
              </w:rPr>
              <w:t xml:space="preserve">. </w:t>
            </w:r>
          </w:p>
          <w:p w14:paraId="0052B0D1" w14:textId="77777777" w:rsidR="008810FB" w:rsidRDefault="003F7AF3">
            <w:pPr>
              <w:pStyle w:val="ListParagraph"/>
              <w:numPr>
                <w:ilvl w:val="0"/>
                <w:numId w:val="26"/>
              </w:numPr>
              <w:spacing w:before="120" w:after="0"/>
              <w:rPr>
                <w:rFonts w:ascii="Times New Roman" w:eastAsiaTheme="minorEastAsia" w:hAnsi="Times New Roman" w:cs="Times New Roman"/>
              </w:rPr>
            </w:pPr>
            <w:r>
              <w:rPr>
                <w:rFonts w:ascii="Times New Roman" w:eastAsiaTheme="minorEastAsia" w:hAnsi="Times New Roman" w:cs="Times New Roman"/>
              </w:rPr>
              <w:t xml:space="preserve">Option 2: The node receiving the RVQoE reports can learn from the </w:t>
            </w:r>
            <w:r>
              <w:rPr>
                <w:rFonts w:ascii="Times New Roman" w:eastAsiaTheme="minorEastAsia" w:hAnsi="Times New Roman" w:cs="Times New Roman"/>
                <w:b/>
                <w:bCs/>
                <w:u w:val="single"/>
              </w:rPr>
              <w:t>identifiers therein</w:t>
            </w:r>
            <w:r>
              <w:rPr>
                <w:rFonts w:ascii="Times New Roman" w:eastAsiaTheme="minorEastAsia" w:hAnsi="Times New Roman" w:cs="Times New Roman"/>
              </w:rPr>
              <w:t xml:space="preserve"> whether it also carries the data for the session</w:t>
            </w:r>
          </w:p>
          <w:p w14:paraId="1C9805EB" w14:textId="23DCD114"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What is the difference in Option 1 and 2? If UE includes the PDU session ID and QoS flow ID in RVQoE report, isn’t that sufficient for MN/SN to learn which of them carries the data for the application session?</w:t>
            </w:r>
          </w:p>
        </w:tc>
      </w:tr>
      <w:tr w:rsidR="008810FB" w14:paraId="56ED39BD" w14:textId="77777777">
        <w:trPr>
          <w:trHeight w:val="325"/>
        </w:trPr>
        <w:tc>
          <w:tcPr>
            <w:tcW w:w="1378" w:type="dxa"/>
          </w:tcPr>
          <w:p w14:paraId="03107D7D"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Lenovo</w:t>
            </w:r>
          </w:p>
        </w:tc>
        <w:tc>
          <w:tcPr>
            <w:tcW w:w="1209" w:type="dxa"/>
          </w:tcPr>
          <w:p w14:paraId="2AAAE47A"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Pr>
          <w:p w14:paraId="790BDB69"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It can be learned from bearer type by NW nodes or by UE. Both NW based and UE based solution can be further discussed.</w:t>
            </w:r>
          </w:p>
        </w:tc>
      </w:tr>
      <w:tr w:rsidR="008810FB" w14:paraId="73FEB2E2" w14:textId="77777777">
        <w:trPr>
          <w:trHeight w:val="342"/>
        </w:trPr>
        <w:tc>
          <w:tcPr>
            <w:tcW w:w="1378" w:type="dxa"/>
          </w:tcPr>
          <w:p w14:paraId="65CCE565" w14:textId="77777777" w:rsidR="008810FB" w:rsidRDefault="003F7AF3">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eastAsia="zh-CN"/>
              </w:rPr>
              <w:t>ZTE</w:t>
            </w:r>
          </w:p>
        </w:tc>
        <w:tc>
          <w:tcPr>
            <w:tcW w:w="1209" w:type="dxa"/>
          </w:tcPr>
          <w:p w14:paraId="00893673"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Pr>
          <w:p w14:paraId="2AFA9CB1"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with Xiaomi that gNB is not aware of the application session. </w:t>
            </w:r>
          </w:p>
          <w:p w14:paraId="6B59EDA5"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It can be further discussed whether any indication or identifier from UE is needed.</w:t>
            </w:r>
          </w:p>
        </w:tc>
      </w:tr>
      <w:tr w:rsidR="008810FB" w14:paraId="573148BF" w14:textId="77777777">
        <w:trPr>
          <w:trHeight w:val="342"/>
        </w:trPr>
        <w:tc>
          <w:tcPr>
            <w:tcW w:w="1378" w:type="dxa"/>
          </w:tcPr>
          <w:p w14:paraId="0D218BE7"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5B00E3E0"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200" w:type="dxa"/>
          </w:tcPr>
          <w:p w14:paraId="4C32E2BD" w14:textId="77777777" w:rsidR="008810FB" w:rsidRDefault="003F7AF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our understanding, the nodes which carry the data for an application session may need the RAN visible QoE results to optimize the resource. RAN3 need to discuss how MN/SN know which nodes carry the data. We think the UE can report the PDU session and QoS flows information with the QoE start indication..</w:t>
            </w:r>
          </w:p>
        </w:tc>
      </w:tr>
      <w:tr w:rsidR="008810FB" w14:paraId="79C59A4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8C0AA4B"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209" w:type="dxa"/>
            <w:tcBorders>
              <w:top w:val="single" w:sz="4" w:space="0" w:color="auto"/>
              <w:left w:val="single" w:sz="4" w:space="0" w:color="auto"/>
              <w:bottom w:val="single" w:sz="4" w:space="0" w:color="auto"/>
              <w:right w:val="single" w:sz="4" w:space="0" w:color="auto"/>
            </w:tcBorders>
          </w:tcPr>
          <w:p w14:paraId="3251D018"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Yes</w:t>
            </w:r>
          </w:p>
        </w:tc>
        <w:tc>
          <w:tcPr>
            <w:tcW w:w="7200" w:type="dxa"/>
            <w:tcBorders>
              <w:top w:val="single" w:sz="4" w:space="0" w:color="auto"/>
              <w:left w:val="single" w:sz="4" w:space="0" w:color="auto"/>
              <w:bottom w:val="single" w:sz="4" w:space="0" w:color="auto"/>
              <w:right w:val="single" w:sz="4" w:space="0" w:color="auto"/>
            </w:tcBorders>
          </w:tcPr>
          <w:p w14:paraId="07A90230"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Agree that PDU session id + QoS flow id (or simply DRB id) can be used. Basically, if RVQoE is received by the node hosting PDCP for the concerned DRB, it can forward to the other node if data goes via that other node. But if RVQoE is received by the node not hosting PDCP, it will always have to forward the info because it will not know whether the DRB is a split DRB?</w:t>
            </w:r>
          </w:p>
        </w:tc>
      </w:tr>
      <w:tr w:rsidR="008810FB" w14:paraId="1E4BB77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CBC10B3"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China Unicom</w:t>
            </w:r>
          </w:p>
        </w:tc>
        <w:tc>
          <w:tcPr>
            <w:tcW w:w="1209" w:type="dxa"/>
            <w:tcBorders>
              <w:top w:val="single" w:sz="4" w:space="0" w:color="auto"/>
              <w:left w:val="single" w:sz="4" w:space="0" w:color="auto"/>
              <w:bottom w:val="single" w:sz="4" w:space="0" w:color="auto"/>
              <w:right w:val="single" w:sz="4" w:space="0" w:color="auto"/>
            </w:tcBorders>
          </w:tcPr>
          <w:p w14:paraId="45D96F61" w14:textId="77777777" w:rsidR="008810FB" w:rsidRDefault="003F7AF3">
            <w:pPr>
              <w:spacing w:before="120" w:after="0"/>
              <w:rPr>
                <w:rFonts w:ascii="Times New Roman" w:eastAsia="MS ??" w:hAnsi="Times New Roman" w:cs="Times New Roman"/>
                <w:sz w:val="20"/>
                <w:szCs w:val="20"/>
                <w:lang w:eastAsia="zh-CN"/>
              </w:rPr>
            </w:pPr>
            <w:r>
              <w:rPr>
                <w:rFonts w:ascii="Times New Roman" w:eastAsia="MS ??"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4192B999" w14:textId="77777777" w:rsidR="008810FB" w:rsidRDefault="003F7AF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with Xiaomi and ZTE, gNB is not aware of the application session. </w:t>
            </w:r>
          </w:p>
          <w:p w14:paraId="34E708DC" w14:textId="77777777" w:rsidR="008810FB" w:rsidRDefault="008810FB">
            <w:pPr>
              <w:spacing w:before="120" w:after="0"/>
              <w:rPr>
                <w:rFonts w:ascii="Times New Roman" w:eastAsia="MS ??" w:hAnsi="Times New Roman" w:cs="Times New Roman"/>
                <w:sz w:val="20"/>
                <w:szCs w:val="20"/>
                <w:lang w:val="en-GB" w:eastAsia="zh-CN"/>
              </w:rPr>
            </w:pPr>
          </w:p>
        </w:tc>
      </w:tr>
      <w:tr w:rsidR="009D471B" w14:paraId="684A5775" w14:textId="77777777" w:rsidTr="00DB4143">
        <w:trPr>
          <w:trHeight w:val="325"/>
        </w:trPr>
        <w:tc>
          <w:tcPr>
            <w:tcW w:w="1378" w:type="dxa"/>
            <w:tcBorders>
              <w:top w:val="single" w:sz="4" w:space="0" w:color="auto"/>
              <w:left w:val="single" w:sz="4" w:space="0" w:color="auto"/>
              <w:bottom w:val="single" w:sz="4" w:space="0" w:color="auto"/>
              <w:right w:val="single" w:sz="4" w:space="0" w:color="auto"/>
            </w:tcBorders>
          </w:tcPr>
          <w:p w14:paraId="59C92385" w14:textId="77777777" w:rsidR="009D471B"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Borders>
              <w:top w:val="single" w:sz="4" w:space="0" w:color="auto"/>
              <w:left w:val="single" w:sz="4" w:space="0" w:color="auto"/>
              <w:bottom w:val="single" w:sz="4" w:space="0" w:color="auto"/>
              <w:right w:val="single" w:sz="4" w:space="0" w:color="auto"/>
            </w:tcBorders>
          </w:tcPr>
          <w:p w14:paraId="14648B5F" w14:textId="77777777" w:rsidR="009D471B" w:rsidRPr="00EC2F1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200" w:type="dxa"/>
            <w:tcBorders>
              <w:top w:val="single" w:sz="4" w:space="0" w:color="auto"/>
              <w:left w:val="single" w:sz="4" w:space="0" w:color="auto"/>
              <w:bottom w:val="single" w:sz="4" w:space="0" w:color="auto"/>
              <w:right w:val="single" w:sz="4" w:space="0" w:color="auto"/>
            </w:tcBorders>
          </w:tcPr>
          <w:p w14:paraId="70437E1F" w14:textId="77777777" w:rsidR="009D471B" w:rsidRPr="00EC2F15" w:rsidRDefault="009D471B" w:rsidP="00DB414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with Nok.</w:t>
            </w:r>
          </w:p>
        </w:tc>
      </w:tr>
      <w:tr w:rsidR="008810FB" w14:paraId="1EF24C5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70A0870"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26F25781"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A13A6C9" w14:textId="77777777" w:rsidR="008810FB" w:rsidRDefault="008810FB">
            <w:pPr>
              <w:spacing w:before="120" w:after="0"/>
              <w:rPr>
                <w:rFonts w:ascii="Times New Roman" w:eastAsiaTheme="minorEastAsia" w:hAnsi="Times New Roman" w:cs="Times New Roman"/>
                <w:sz w:val="20"/>
                <w:szCs w:val="20"/>
                <w:lang w:val="en-GB" w:eastAsia="zh-CN"/>
              </w:rPr>
            </w:pPr>
          </w:p>
        </w:tc>
      </w:tr>
      <w:tr w:rsidR="008810FB" w14:paraId="2C0016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0670E27"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1C96CDA1" w14:textId="77777777" w:rsidR="008810FB" w:rsidRDefault="008810FB">
            <w:pPr>
              <w:spacing w:before="120" w:after="0"/>
              <w:rPr>
                <w:rFonts w:ascii="Times New Roman" w:eastAsia="MS ??"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605B5CB3" w14:textId="77777777" w:rsidR="008810FB" w:rsidRDefault="008810FB">
            <w:pPr>
              <w:spacing w:before="120" w:after="0"/>
              <w:rPr>
                <w:rFonts w:ascii="Times New Roman" w:eastAsia="MS ??" w:hAnsi="Times New Roman" w:cs="Times New Roman"/>
                <w:sz w:val="20"/>
                <w:szCs w:val="20"/>
                <w:lang w:val="en-GB" w:eastAsia="zh-CN"/>
              </w:rPr>
            </w:pPr>
          </w:p>
        </w:tc>
      </w:tr>
      <w:tr w:rsidR="008810FB" w14:paraId="092C7C0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A6232D9"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44457F01"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92630D7" w14:textId="77777777" w:rsidR="008810FB" w:rsidRDefault="008810FB">
            <w:pPr>
              <w:spacing w:before="120" w:after="0"/>
              <w:rPr>
                <w:rFonts w:ascii="Times New Roman" w:hAnsi="Times New Roman" w:cs="Times New Roman"/>
                <w:bCs/>
                <w:sz w:val="20"/>
                <w:szCs w:val="20"/>
                <w:lang w:val="en-GB"/>
              </w:rPr>
            </w:pPr>
          </w:p>
        </w:tc>
      </w:tr>
      <w:tr w:rsidR="008810FB" w14:paraId="61904D1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9EDCCE"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1209" w:type="dxa"/>
            <w:tcBorders>
              <w:top w:val="single" w:sz="4" w:space="0" w:color="auto"/>
              <w:left w:val="single" w:sz="4" w:space="0" w:color="auto"/>
              <w:bottom w:val="single" w:sz="4" w:space="0" w:color="auto"/>
              <w:right w:val="single" w:sz="4" w:space="0" w:color="auto"/>
            </w:tcBorders>
          </w:tcPr>
          <w:p w14:paraId="0B899086" w14:textId="77777777" w:rsidR="008810FB" w:rsidRDefault="008810FB">
            <w:pPr>
              <w:spacing w:before="120" w:after="0"/>
              <w:rPr>
                <w:rFonts w:ascii="Times New Roman" w:eastAsiaTheme="minorEastAsia" w:hAnsi="Times New Roman" w:cs="Times New Roman"/>
                <w:sz w:val="20"/>
                <w:szCs w:val="20"/>
                <w:lang w:val="en-GB" w:eastAsia="zh-CN"/>
              </w:rPr>
            </w:pPr>
          </w:p>
        </w:tc>
        <w:tc>
          <w:tcPr>
            <w:tcW w:w="7200" w:type="dxa"/>
            <w:tcBorders>
              <w:top w:val="single" w:sz="4" w:space="0" w:color="auto"/>
              <w:left w:val="single" w:sz="4" w:space="0" w:color="auto"/>
              <w:bottom w:val="single" w:sz="4" w:space="0" w:color="auto"/>
              <w:right w:val="single" w:sz="4" w:space="0" w:color="auto"/>
            </w:tcBorders>
          </w:tcPr>
          <w:p w14:paraId="377A154F" w14:textId="77777777" w:rsidR="008810FB" w:rsidRDefault="008810FB">
            <w:pPr>
              <w:spacing w:before="120" w:after="0"/>
              <w:rPr>
                <w:rFonts w:ascii="Times New Roman" w:hAnsi="Times New Roman" w:cs="Times New Roman"/>
                <w:bCs/>
                <w:sz w:val="20"/>
                <w:szCs w:val="20"/>
                <w:lang w:val="en-GB"/>
              </w:rPr>
            </w:pPr>
          </w:p>
        </w:tc>
      </w:tr>
    </w:tbl>
    <w:p w14:paraId="6866F5B2" w14:textId="6B265901" w:rsidR="00E06DE3" w:rsidRPr="007E1C8B" w:rsidRDefault="00E06DE3">
      <w:pPr>
        <w:spacing w:after="160"/>
        <w:rPr>
          <w:rFonts w:ascii="Times New Roman" w:eastAsiaTheme="minorEastAsia" w:hAnsi="Times New Roman" w:cs="Times New Roman"/>
          <w:b/>
          <w:bCs/>
          <w:color w:val="00B050"/>
          <w:sz w:val="20"/>
          <w:szCs w:val="20"/>
          <w:lang w:val="de-DE" w:eastAsia="de-DE"/>
        </w:rPr>
      </w:pPr>
      <w:r w:rsidRPr="007E1C8B">
        <w:rPr>
          <w:rFonts w:ascii="Times New Roman" w:eastAsiaTheme="minorEastAsia" w:hAnsi="Times New Roman" w:cs="Times New Roman"/>
          <w:b/>
          <w:bCs/>
          <w:color w:val="00B050"/>
          <w:sz w:val="20"/>
          <w:szCs w:val="20"/>
          <w:lang w:val="de-DE" w:eastAsia="de-DE"/>
        </w:rPr>
        <w:t xml:space="preserve">Proposal </w:t>
      </w:r>
      <w:r w:rsidR="008849B0">
        <w:rPr>
          <w:rFonts w:ascii="Times New Roman" w:eastAsiaTheme="minorEastAsia" w:hAnsi="Times New Roman" w:cs="Times New Roman"/>
          <w:b/>
          <w:bCs/>
          <w:color w:val="00B050"/>
          <w:sz w:val="20"/>
          <w:szCs w:val="20"/>
          <w:lang w:val="de-DE" w:eastAsia="de-DE"/>
        </w:rPr>
        <w:t>15</w:t>
      </w:r>
      <w:r w:rsidR="007E1C8B" w:rsidRPr="007E1C8B">
        <w:rPr>
          <w:rFonts w:ascii="Times New Roman" w:eastAsiaTheme="minorEastAsia" w:hAnsi="Times New Roman" w:cs="Times New Roman"/>
          <w:b/>
          <w:bCs/>
          <w:color w:val="00B050"/>
          <w:sz w:val="20"/>
          <w:szCs w:val="20"/>
          <w:lang w:val="de-DE" w:eastAsia="de-DE"/>
        </w:rPr>
        <w:t xml:space="preserve">: </w:t>
      </w:r>
      <w:r w:rsidR="007E1C8B">
        <w:rPr>
          <w:rFonts w:ascii="Times New Roman" w:eastAsiaTheme="minorEastAsia" w:hAnsi="Times New Roman" w:cs="Times New Roman"/>
          <w:b/>
          <w:bCs/>
          <w:color w:val="00B050"/>
          <w:sz w:val="20"/>
          <w:szCs w:val="20"/>
          <w:lang w:val="de-DE" w:eastAsia="de-DE"/>
        </w:rPr>
        <w:t>D</w:t>
      </w:r>
      <w:r w:rsidR="007E1C8B" w:rsidRPr="007E1C8B">
        <w:rPr>
          <w:rFonts w:ascii="Times New Roman" w:hAnsi="Times New Roman" w:cs="Times New Roman"/>
          <w:b/>
          <w:bCs/>
          <w:color w:val="00B050"/>
          <w:sz w:val="20"/>
          <w:szCs w:val="22"/>
          <w:lang w:val="en-GB"/>
        </w:rPr>
        <w:t>iscuss how the MN/SN can learn which of them carries the data for an application session subject to RVQoE measurements</w:t>
      </w:r>
      <w:r w:rsidR="002C0260">
        <w:rPr>
          <w:rFonts w:ascii="Times New Roman" w:hAnsi="Times New Roman" w:cs="Times New Roman"/>
          <w:b/>
          <w:bCs/>
          <w:color w:val="00B050"/>
          <w:sz w:val="20"/>
          <w:szCs w:val="22"/>
          <w:lang w:val="en-GB"/>
        </w:rPr>
        <w:t>.</w:t>
      </w:r>
    </w:p>
    <w:sectPr w:rsidR="00E06DE3" w:rsidRPr="007E1C8B">
      <w:footerReference w:type="default" r:id="rId13"/>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08322" w14:textId="77777777" w:rsidR="00FD5B75" w:rsidRDefault="00FD5B75">
      <w:pPr>
        <w:spacing w:line="240" w:lineRule="auto"/>
      </w:pPr>
      <w:r>
        <w:separator/>
      </w:r>
    </w:p>
  </w:endnote>
  <w:endnote w:type="continuationSeparator" w:id="0">
    <w:p w14:paraId="4ECAF6C0" w14:textId="77777777" w:rsidR="00FD5B75" w:rsidRDefault="00FD5B75">
      <w:pPr>
        <w:spacing w:line="240" w:lineRule="auto"/>
      </w:pPr>
      <w:r>
        <w:continuationSeparator/>
      </w:r>
    </w:p>
  </w:endnote>
  <w:endnote w:type="continuationNotice" w:id="1">
    <w:p w14:paraId="6511E452" w14:textId="77777777" w:rsidR="00FD5B75" w:rsidRDefault="00FD5B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98355" w14:textId="77777777" w:rsidR="008810FB" w:rsidRDefault="003F7AF3">
    <w:pPr>
      <w:pStyle w:val="Footer"/>
      <w:jc w:val="center"/>
    </w:pPr>
    <w:r>
      <w:fldChar w:fldCharType="begin"/>
    </w:r>
    <w:r>
      <w:instrText xml:space="preserve"> PAGE   \* MERGEFORMAT </w:instrText>
    </w:r>
    <w:r>
      <w:fldChar w:fldCharType="separate"/>
    </w:r>
    <w:r w:rsidR="009D471B" w:rsidRPr="009D471B">
      <w:rPr>
        <w:noProof/>
        <w:lang w:val="sv-SE" w:eastAsia="sv-SE"/>
      </w:rPr>
      <w:t>16</w:t>
    </w:r>
    <w:r>
      <w:rPr>
        <w:lang w:val="sv-SE" w:eastAsia="sv-SE"/>
      </w:rPr>
      <w:fldChar w:fldCharType="end"/>
    </w:r>
  </w:p>
  <w:p w14:paraId="4EA03210" w14:textId="77777777" w:rsidR="008810FB" w:rsidRDefault="00881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B245" w14:textId="77777777" w:rsidR="00FD5B75" w:rsidRDefault="00FD5B75">
      <w:pPr>
        <w:spacing w:after="0"/>
      </w:pPr>
      <w:r>
        <w:separator/>
      </w:r>
    </w:p>
  </w:footnote>
  <w:footnote w:type="continuationSeparator" w:id="0">
    <w:p w14:paraId="4B7770EF" w14:textId="77777777" w:rsidR="00FD5B75" w:rsidRDefault="00FD5B75">
      <w:pPr>
        <w:spacing w:after="0"/>
      </w:pPr>
      <w:r>
        <w:continuationSeparator/>
      </w:r>
    </w:p>
  </w:footnote>
  <w:footnote w:type="continuationNotice" w:id="1">
    <w:p w14:paraId="32C3863A" w14:textId="77777777" w:rsidR="00FD5B75" w:rsidRDefault="00FD5B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CEFC1D"/>
    <w:multiLevelType w:val="singleLevel"/>
    <w:tmpl w:val="80CEFC1D"/>
    <w:lvl w:ilvl="0">
      <w:start w:val="1"/>
      <w:numFmt w:val="lowerLetter"/>
      <w:suff w:val="space"/>
      <w:lvlText w:val="%1)"/>
      <w:lvlJc w:val="left"/>
    </w:lvl>
  </w:abstractNum>
  <w:abstractNum w:abstractNumId="1" w15:restartNumberingAfterBreak="0">
    <w:nsid w:val="9A7FA8B3"/>
    <w:multiLevelType w:val="singleLevel"/>
    <w:tmpl w:val="9A7FA8B3"/>
    <w:lvl w:ilvl="0">
      <w:start w:val="1"/>
      <w:numFmt w:val="lowerLetter"/>
      <w:suff w:val="space"/>
      <w:lvlText w:val="%1)"/>
      <w:lvlJc w:val="left"/>
    </w:lvl>
  </w:abstractNum>
  <w:abstractNum w:abstractNumId="2" w15:restartNumberingAfterBreak="0">
    <w:nsid w:val="B412B3EB"/>
    <w:multiLevelType w:val="singleLevel"/>
    <w:tmpl w:val="B412B3EB"/>
    <w:lvl w:ilvl="0">
      <w:start w:val="1"/>
      <w:numFmt w:val="lowerLetter"/>
      <w:lvlText w:val="%1)"/>
      <w:lvlJc w:val="left"/>
      <w:pPr>
        <w:tabs>
          <w:tab w:val="left" w:pos="312"/>
        </w:tabs>
      </w:pPr>
    </w:lvl>
  </w:abstractNum>
  <w:abstractNum w:abstractNumId="3" w15:restartNumberingAfterBreak="0">
    <w:nsid w:val="CE26B0AD"/>
    <w:multiLevelType w:val="singleLevel"/>
    <w:tmpl w:val="CE26B0AD"/>
    <w:lvl w:ilvl="0">
      <w:start w:val="1"/>
      <w:numFmt w:val="lowerLetter"/>
      <w:suff w:val="space"/>
      <w:lvlText w:val="%1)"/>
      <w:lvlJc w:val="left"/>
    </w:lvl>
  </w:abstractNum>
  <w:abstractNum w:abstractNumId="4" w15:restartNumberingAfterBreak="0">
    <w:nsid w:val="D15C98EF"/>
    <w:multiLevelType w:val="singleLevel"/>
    <w:tmpl w:val="D15C98EF"/>
    <w:lvl w:ilvl="0">
      <w:start w:val="1"/>
      <w:numFmt w:val="lowerLetter"/>
      <w:suff w:val="space"/>
      <w:lvlText w:val="%1)"/>
      <w:lvlJc w:val="left"/>
    </w:lvl>
  </w:abstractNum>
  <w:abstractNum w:abstractNumId="5" w15:restartNumberingAfterBreak="0">
    <w:nsid w:val="13B54BFD"/>
    <w:multiLevelType w:val="multilevel"/>
    <w:tmpl w:val="13B54BF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7504BF"/>
    <w:multiLevelType w:val="multilevel"/>
    <w:tmpl w:val="147504BF"/>
    <w:lvl w:ilvl="0">
      <w:start w:val="1"/>
      <w:numFmt w:val="lowerLetter"/>
      <w:lvlText w:val="%1)"/>
      <w:lvlJc w:val="left"/>
      <w:pPr>
        <w:ind w:left="1287" w:hanging="360"/>
      </w:pPr>
      <w:rPr>
        <w:rFont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18F113DE"/>
    <w:multiLevelType w:val="multilevel"/>
    <w:tmpl w:val="18F113DE"/>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5C53A"/>
    <w:multiLevelType w:val="singleLevel"/>
    <w:tmpl w:val="1A55C53A"/>
    <w:lvl w:ilvl="0">
      <w:start w:val="1"/>
      <w:numFmt w:val="lowerLetter"/>
      <w:suff w:val="space"/>
      <w:lvlText w:val="%1)"/>
      <w:lvlJc w:val="left"/>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1260"/>
        </w:tabs>
        <w:ind w:left="126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2280303D"/>
    <w:multiLevelType w:val="multilevel"/>
    <w:tmpl w:val="228030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C7B2DB7"/>
    <w:multiLevelType w:val="multilevel"/>
    <w:tmpl w:val="2C7B2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B4698"/>
    <w:multiLevelType w:val="multilevel"/>
    <w:tmpl w:val="2FBB4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636D8"/>
    <w:multiLevelType w:val="multilevel"/>
    <w:tmpl w:val="30D63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FE3E53"/>
    <w:multiLevelType w:val="multilevel"/>
    <w:tmpl w:val="34FE3E53"/>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F4753D4"/>
    <w:multiLevelType w:val="multilevel"/>
    <w:tmpl w:val="3F4753D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D52F9F"/>
    <w:multiLevelType w:val="multilevel"/>
    <w:tmpl w:val="45D52F9F"/>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6B9C20"/>
    <w:multiLevelType w:val="singleLevel"/>
    <w:tmpl w:val="466B9C20"/>
    <w:lvl w:ilvl="0">
      <w:start w:val="1"/>
      <w:numFmt w:val="lowerLetter"/>
      <w:suff w:val="space"/>
      <w:lvlText w:val="%1)"/>
      <w:lvlJc w:val="left"/>
    </w:lvl>
  </w:abstractNum>
  <w:abstractNum w:abstractNumId="19" w15:restartNumberingAfterBreak="0">
    <w:nsid w:val="4B03D46E"/>
    <w:multiLevelType w:val="singleLevel"/>
    <w:tmpl w:val="4B03D46E"/>
    <w:lvl w:ilvl="0">
      <w:start w:val="1"/>
      <w:numFmt w:val="lowerLetter"/>
      <w:suff w:val="space"/>
      <w:lvlText w:val="%1)"/>
      <w:lvlJc w:val="left"/>
    </w:lvl>
  </w:abstractNum>
  <w:abstractNum w:abstractNumId="2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866C7A"/>
    <w:multiLevelType w:val="singleLevel"/>
    <w:tmpl w:val="51866C7A"/>
    <w:lvl w:ilvl="0">
      <w:start w:val="1"/>
      <w:numFmt w:val="lowerLetter"/>
      <w:suff w:val="space"/>
      <w:lvlText w:val="%1)"/>
      <w:lvlJc w:val="left"/>
    </w:lvl>
  </w:abstractNum>
  <w:abstractNum w:abstractNumId="22" w15:restartNumberingAfterBreak="0">
    <w:nsid w:val="5223500B"/>
    <w:multiLevelType w:val="multilevel"/>
    <w:tmpl w:val="5223500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4" w15:restartNumberingAfterBreak="0">
    <w:nsid w:val="773920D0"/>
    <w:multiLevelType w:val="multilevel"/>
    <w:tmpl w:val="773920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D086364"/>
    <w:multiLevelType w:val="multilevel"/>
    <w:tmpl w:val="7D0863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0"/>
  </w:num>
  <w:num w:numId="5">
    <w:abstractNumId w:val="6"/>
  </w:num>
  <w:num w:numId="6">
    <w:abstractNumId w:val="14"/>
  </w:num>
  <w:num w:numId="7">
    <w:abstractNumId w:val="17"/>
  </w:num>
  <w:num w:numId="8">
    <w:abstractNumId w:val="16"/>
  </w:num>
  <w:num w:numId="9">
    <w:abstractNumId w:val="10"/>
  </w:num>
  <w:num w:numId="10">
    <w:abstractNumId w:val="24"/>
  </w:num>
  <w:num w:numId="11">
    <w:abstractNumId w:val="22"/>
  </w:num>
  <w:num w:numId="12">
    <w:abstractNumId w:val="19"/>
  </w:num>
  <w:num w:numId="13">
    <w:abstractNumId w:val="4"/>
  </w:num>
  <w:num w:numId="14">
    <w:abstractNumId w:val="7"/>
  </w:num>
  <w:num w:numId="15">
    <w:abstractNumId w:val="1"/>
  </w:num>
  <w:num w:numId="16">
    <w:abstractNumId w:val="2"/>
  </w:num>
  <w:num w:numId="17">
    <w:abstractNumId w:val="25"/>
  </w:num>
  <w:num w:numId="18">
    <w:abstractNumId w:val="12"/>
  </w:num>
  <w:num w:numId="19">
    <w:abstractNumId w:val="18"/>
  </w:num>
  <w:num w:numId="20">
    <w:abstractNumId w:val="21"/>
  </w:num>
  <w:num w:numId="21">
    <w:abstractNumId w:val="15"/>
  </w:num>
  <w:num w:numId="22">
    <w:abstractNumId w:val="0"/>
  </w:num>
  <w:num w:numId="23">
    <w:abstractNumId w:val="5"/>
  </w:num>
  <w:num w:numId="24">
    <w:abstractNumId w:val="8"/>
  </w:num>
  <w:num w:numId="25">
    <w:abstractNumId w:val="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28E0"/>
    <w:rsid w:val="00004866"/>
    <w:rsid w:val="00005FF1"/>
    <w:rsid w:val="00006BC3"/>
    <w:rsid w:val="00010982"/>
    <w:rsid w:val="00013BA6"/>
    <w:rsid w:val="000149BD"/>
    <w:rsid w:val="000208FA"/>
    <w:rsid w:val="00024088"/>
    <w:rsid w:val="000252DA"/>
    <w:rsid w:val="000268D5"/>
    <w:rsid w:val="000277FF"/>
    <w:rsid w:val="0003748C"/>
    <w:rsid w:val="00041BF4"/>
    <w:rsid w:val="00041DD2"/>
    <w:rsid w:val="00042129"/>
    <w:rsid w:val="00044F9D"/>
    <w:rsid w:val="000469C6"/>
    <w:rsid w:val="000517C9"/>
    <w:rsid w:val="00052ABB"/>
    <w:rsid w:val="00056080"/>
    <w:rsid w:val="00060357"/>
    <w:rsid w:val="000618C3"/>
    <w:rsid w:val="000626BD"/>
    <w:rsid w:val="000742F3"/>
    <w:rsid w:val="00076487"/>
    <w:rsid w:val="00076F2D"/>
    <w:rsid w:val="00080DBB"/>
    <w:rsid w:val="00081E79"/>
    <w:rsid w:val="00082EAB"/>
    <w:rsid w:val="00084581"/>
    <w:rsid w:val="00087D50"/>
    <w:rsid w:val="00093DBE"/>
    <w:rsid w:val="000A163A"/>
    <w:rsid w:val="000A5F13"/>
    <w:rsid w:val="000A67E1"/>
    <w:rsid w:val="000A7190"/>
    <w:rsid w:val="000B0458"/>
    <w:rsid w:val="000B0898"/>
    <w:rsid w:val="000B45E0"/>
    <w:rsid w:val="000B4A83"/>
    <w:rsid w:val="000B53D3"/>
    <w:rsid w:val="000B585C"/>
    <w:rsid w:val="000B634B"/>
    <w:rsid w:val="000C4618"/>
    <w:rsid w:val="000C508E"/>
    <w:rsid w:val="000D14DD"/>
    <w:rsid w:val="000D1CE5"/>
    <w:rsid w:val="000D34F8"/>
    <w:rsid w:val="000E7B6C"/>
    <w:rsid w:val="000F1AC3"/>
    <w:rsid w:val="000F2C4F"/>
    <w:rsid w:val="000F2DD6"/>
    <w:rsid w:val="000F3FF8"/>
    <w:rsid w:val="000F57E2"/>
    <w:rsid w:val="00101A5A"/>
    <w:rsid w:val="00102177"/>
    <w:rsid w:val="00104509"/>
    <w:rsid w:val="00106D89"/>
    <w:rsid w:val="00110B0F"/>
    <w:rsid w:val="00111CF0"/>
    <w:rsid w:val="00111CF4"/>
    <w:rsid w:val="00113082"/>
    <w:rsid w:val="00115EA5"/>
    <w:rsid w:val="00120701"/>
    <w:rsid w:val="001226F6"/>
    <w:rsid w:val="00123A05"/>
    <w:rsid w:val="00124951"/>
    <w:rsid w:val="001251A3"/>
    <w:rsid w:val="00125A87"/>
    <w:rsid w:val="00130602"/>
    <w:rsid w:val="00132A23"/>
    <w:rsid w:val="00134411"/>
    <w:rsid w:val="00136315"/>
    <w:rsid w:val="001408C3"/>
    <w:rsid w:val="00140AE1"/>
    <w:rsid w:val="00140B69"/>
    <w:rsid w:val="00140DE1"/>
    <w:rsid w:val="00142844"/>
    <w:rsid w:val="00145C74"/>
    <w:rsid w:val="00146824"/>
    <w:rsid w:val="00150677"/>
    <w:rsid w:val="001506F2"/>
    <w:rsid w:val="00153172"/>
    <w:rsid w:val="0015345D"/>
    <w:rsid w:val="00156B1A"/>
    <w:rsid w:val="00160B1E"/>
    <w:rsid w:val="00166139"/>
    <w:rsid w:val="0017334A"/>
    <w:rsid w:val="001810A2"/>
    <w:rsid w:val="00190807"/>
    <w:rsid w:val="00190F49"/>
    <w:rsid w:val="00192125"/>
    <w:rsid w:val="0019372C"/>
    <w:rsid w:val="001A1874"/>
    <w:rsid w:val="001A5360"/>
    <w:rsid w:val="001A6916"/>
    <w:rsid w:val="001A787D"/>
    <w:rsid w:val="001B03D9"/>
    <w:rsid w:val="001B23B6"/>
    <w:rsid w:val="001B7C5D"/>
    <w:rsid w:val="001C6E79"/>
    <w:rsid w:val="001D1478"/>
    <w:rsid w:val="001D29C8"/>
    <w:rsid w:val="001D3A26"/>
    <w:rsid w:val="001D6182"/>
    <w:rsid w:val="001D6A88"/>
    <w:rsid w:val="001D73B3"/>
    <w:rsid w:val="001E074D"/>
    <w:rsid w:val="001E0E93"/>
    <w:rsid w:val="001E410C"/>
    <w:rsid w:val="001E4FFF"/>
    <w:rsid w:val="001E515A"/>
    <w:rsid w:val="001E5608"/>
    <w:rsid w:val="001E6F87"/>
    <w:rsid w:val="001F3292"/>
    <w:rsid w:val="001F6CC9"/>
    <w:rsid w:val="001F6FB1"/>
    <w:rsid w:val="002008F2"/>
    <w:rsid w:val="00205EB5"/>
    <w:rsid w:val="00206CF3"/>
    <w:rsid w:val="002106BD"/>
    <w:rsid w:val="00217A8A"/>
    <w:rsid w:val="00217F9A"/>
    <w:rsid w:val="00232119"/>
    <w:rsid w:val="00234446"/>
    <w:rsid w:val="00234AC7"/>
    <w:rsid w:val="002352F0"/>
    <w:rsid w:val="0023733F"/>
    <w:rsid w:val="00237D72"/>
    <w:rsid w:val="00240463"/>
    <w:rsid w:val="00241BFB"/>
    <w:rsid w:val="002510A7"/>
    <w:rsid w:val="00252084"/>
    <w:rsid w:val="00255B97"/>
    <w:rsid w:val="00260790"/>
    <w:rsid w:val="00261ED8"/>
    <w:rsid w:val="00263F55"/>
    <w:rsid w:val="002646B8"/>
    <w:rsid w:val="00266C0B"/>
    <w:rsid w:val="00270B3F"/>
    <w:rsid w:val="002747B3"/>
    <w:rsid w:val="0027668B"/>
    <w:rsid w:val="00276AAB"/>
    <w:rsid w:val="00276D49"/>
    <w:rsid w:val="00277731"/>
    <w:rsid w:val="00280BD4"/>
    <w:rsid w:val="00280CEE"/>
    <w:rsid w:val="00283B9A"/>
    <w:rsid w:val="00286E4B"/>
    <w:rsid w:val="002932A3"/>
    <w:rsid w:val="00295308"/>
    <w:rsid w:val="002955A3"/>
    <w:rsid w:val="00296A64"/>
    <w:rsid w:val="002A07E9"/>
    <w:rsid w:val="002A33D9"/>
    <w:rsid w:val="002A3818"/>
    <w:rsid w:val="002A7C88"/>
    <w:rsid w:val="002B011D"/>
    <w:rsid w:val="002B6F10"/>
    <w:rsid w:val="002C0260"/>
    <w:rsid w:val="002C2FD7"/>
    <w:rsid w:val="002C391A"/>
    <w:rsid w:val="002C456C"/>
    <w:rsid w:val="002C60E8"/>
    <w:rsid w:val="002C6469"/>
    <w:rsid w:val="002C6647"/>
    <w:rsid w:val="002C67A4"/>
    <w:rsid w:val="002C7B21"/>
    <w:rsid w:val="002D1EC2"/>
    <w:rsid w:val="002D21A7"/>
    <w:rsid w:val="002D5703"/>
    <w:rsid w:val="002D5C51"/>
    <w:rsid w:val="002D6BC5"/>
    <w:rsid w:val="002E4E10"/>
    <w:rsid w:val="002E5CDC"/>
    <w:rsid w:val="002E6433"/>
    <w:rsid w:val="002E6D03"/>
    <w:rsid w:val="002E7D78"/>
    <w:rsid w:val="002F1263"/>
    <w:rsid w:val="002F20E9"/>
    <w:rsid w:val="002F43FA"/>
    <w:rsid w:val="002F5583"/>
    <w:rsid w:val="002F6C6D"/>
    <w:rsid w:val="002F6F24"/>
    <w:rsid w:val="002F7A2E"/>
    <w:rsid w:val="00301DDC"/>
    <w:rsid w:val="00302415"/>
    <w:rsid w:val="00302EBF"/>
    <w:rsid w:val="003038DB"/>
    <w:rsid w:val="003053BD"/>
    <w:rsid w:val="003113D2"/>
    <w:rsid w:val="00314F9F"/>
    <w:rsid w:val="00321D0D"/>
    <w:rsid w:val="003223A3"/>
    <w:rsid w:val="00323563"/>
    <w:rsid w:val="0032429C"/>
    <w:rsid w:val="00326839"/>
    <w:rsid w:val="00333FBF"/>
    <w:rsid w:val="00334176"/>
    <w:rsid w:val="00341245"/>
    <w:rsid w:val="00343A77"/>
    <w:rsid w:val="0034420F"/>
    <w:rsid w:val="00344BFA"/>
    <w:rsid w:val="00344F6F"/>
    <w:rsid w:val="00345954"/>
    <w:rsid w:val="00346C40"/>
    <w:rsid w:val="0036626F"/>
    <w:rsid w:val="00366DE5"/>
    <w:rsid w:val="00367A6B"/>
    <w:rsid w:val="00367FD0"/>
    <w:rsid w:val="00370C77"/>
    <w:rsid w:val="00372705"/>
    <w:rsid w:val="003731B9"/>
    <w:rsid w:val="0037591E"/>
    <w:rsid w:val="00376C2A"/>
    <w:rsid w:val="00380D42"/>
    <w:rsid w:val="003820FA"/>
    <w:rsid w:val="00383A40"/>
    <w:rsid w:val="003865A8"/>
    <w:rsid w:val="003867B6"/>
    <w:rsid w:val="003872D0"/>
    <w:rsid w:val="003907BC"/>
    <w:rsid w:val="00390D12"/>
    <w:rsid w:val="00393B5F"/>
    <w:rsid w:val="0039614D"/>
    <w:rsid w:val="003A0218"/>
    <w:rsid w:val="003A1237"/>
    <w:rsid w:val="003A1F97"/>
    <w:rsid w:val="003A27EF"/>
    <w:rsid w:val="003A4FA5"/>
    <w:rsid w:val="003A647A"/>
    <w:rsid w:val="003A778B"/>
    <w:rsid w:val="003A7E37"/>
    <w:rsid w:val="003B1447"/>
    <w:rsid w:val="003B31A0"/>
    <w:rsid w:val="003B7FEA"/>
    <w:rsid w:val="003C0EAB"/>
    <w:rsid w:val="003C3A75"/>
    <w:rsid w:val="003C611B"/>
    <w:rsid w:val="003D54DF"/>
    <w:rsid w:val="003E7EAD"/>
    <w:rsid w:val="003F0E5F"/>
    <w:rsid w:val="003F18FD"/>
    <w:rsid w:val="003F2488"/>
    <w:rsid w:val="003F2924"/>
    <w:rsid w:val="003F49AB"/>
    <w:rsid w:val="003F4A21"/>
    <w:rsid w:val="003F7AF3"/>
    <w:rsid w:val="00401DA4"/>
    <w:rsid w:val="00402558"/>
    <w:rsid w:val="004042D3"/>
    <w:rsid w:val="004050B1"/>
    <w:rsid w:val="0040606F"/>
    <w:rsid w:val="004121C7"/>
    <w:rsid w:val="00413232"/>
    <w:rsid w:val="00413586"/>
    <w:rsid w:val="00413785"/>
    <w:rsid w:val="00414C95"/>
    <w:rsid w:val="00415FBB"/>
    <w:rsid w:val="00421234"/>
    <w:rsid w:val="00423477"/>
    <w:rsid w:val="0042602F"/>
    <w:rsid w:val="00433667"/>
    <w:rsid w:val="004337B1"/>
    <w:rsid w:val="00434AF4"/>
    <w:rsid w:val="00435C58"/>
    <w:rsid w:val="00443088"/>
    <w:rsid w:val="0045167E"/>
    <w:rsid w:val="00453552"/>
    <w:rsid w:val="00454FC1"/>
    <w:rsid w:val="0045558F"/>
    <w:rsid w:val="004574AE"/>
    <w:rsid w:val="004615B7"/>
    <w:rsid w:val="00465302"/>
    <w:rsid w:val="00471C1F"/>
    <w:rsid w:val="0047327E"/>
    <w:rsid w:val="00475B35"/>
    <w:rsid w:val="004764B4"/>
    <w:rsid w:val="00483D80"/>
    <w:rsid w:val="00485F57"/>
    <w:rsid w:val="004916B7"/>
    <w:rsid w:val="004918A1"/>
    <w:rsid w:val="00491FBB"/>
    <w:rsid w:val="00491FFB"/>
    <w:rsid w:val="00492B73"/>
    <w:rsid w:val="00493B6D"/>
    <w:rsid w:val="004952BB"/>
    <w:rsid w:val="00496EBB"/>
    <w:rsid w:val="004970F8"/>
    <w:rsid w:val="004A017A"/>
    <w:rsid w:val="004A2D65"/>
    <w:rsid w:val="004A55CC"/>
    <w:rsid w:val="004A68E3"/>
    <w:rsid w:val="004A7B2B"/>
    <w:rsid w:val="004B1646"/>
    <w:rsid w:val="004B2285"/>
    <w:rsid w:val="004B22D7"/>
    <w:rsid w:val="004B4A6D"/>
    <w:rsid w:val="004B7332"/>
    <w:rsid w:val="004C0B18"/>
    <w:rsid w:val="004C2B74"/>
    <w:rsid w:val="004C30AC"/>
    <w:rsid w:val="004C55A7"/>
    <w:rsid w:val="004D2550"/>
    <w:rsid w:val="004D361F"/>
    <w:rsid w:val="004E4B4F"/>
    <w:rsid w:val="004E4C5B"/>
    <w:rsid w:val="004E707C"/>
    <w:rsid w:val="004F341D"/>
    <w:rsid w:val="004F507B"/>
    <w:rsid w:val="004F6710"/>
    <w:rsid w:val="00501318"/>
    <w:rsid w:val="005031AB"/>
    <w:rsid w:val="00504457"/>
    <w:rsid w:val="00505116"/>
    <w:rsid w:val="005119F9"/>
    <w:rsid w:val="00512281"/>
    <w:rsid w:val="0051267A"/>
    <w:rsid w:val="00513D12"/>
    <w:rsid w:val="00514430"/>
    <w:rsid w:val="0051540C"/>
    <w:rsid w:val="0052021E"/>
    <w:rsid w:val="00520911"/>
    <w:rsid w:val="00520A23"/>
    <w:rsid w:val="00523D81"/>
    <w:rsid w:val="0053246D"/>
    <w:rsid w:val="0053419B"/>
    <w:rsid w:val="00537F64"/>
    <w:rsid w:val="00540E45"/>
    <w:rsid w:val="00546185"/>
    <w:rsid w:val="00550F37"/>
    <w:rsid w:val="0055527D"/>
    <w:rsid w:val="00570071"/>
    <w:rsid w:val="00575455"/>
    <w:rsid w:val="00577BE0"/>
    <w:rsid w:val="0058117D"/>
    <w:rsid w:val="005850B1"/>
    <w:rsid w:val="00585493"/>
    <w:rsid w:val="00587219"/>
    <w:rsid w:val="00592B06"/>
    <w:rsid w:val="005A0380"/>
    <w:rsid w:val="005A177E"/>
    <w:rsid w:val="005A4A66"/>
    <w:rsid w:val="005A59D9"/>
    <w:rsid w:val="005A6066"/>
    <w:rsid w:val="005B142B"/>
    <w:rsid w:val="005B1813"/>
    <w:rsid w:val="005B68AA"/>
    <w:rsid w:val="005C16D9"/>
    <w:rsid w:val="005C4877"/>
    <w:rsid w:val="005C52A9"/>
    <w:rsid w:val="005C6811"/>
    <w:rsid w:val="005D01C5"/>
    <w:rsid w:val="005D041F"/>
    <w:rsid w:val="005D1F16"/>
    <w:rsid w:val="005D2250"/>
    <w:rsid w:val="005D35E6"/>
    <w:rsid w:val="005D3926"/>
    <w:rsid w:val="005D42AD"/>
    <w:rsid w:val="005D4C54"/>
    <w:rsid w:val="005D75D4"/>
    <w:rsid w:val="005E02E3"/>
    <w:rsid w:val="005E082C"/>
    <w:rsid w:val="005E17A9"/>
    <w:rsid w:val="005E189B"/>
    <w:rsid w:val="005E2834"/>
    <w:rsid w:val="005E44A0"/>
    <w:rsid w:val="005E5F9F"/>
    <w:rsid w:val="005E6392"/>
    <w:rsid w:val="005F2C6F"/>
    <w:rsid w:val="005F4776"/>
    <w:rsid w:val="005F5838"/>
    <w:rsid w:val="005F5A7F"/>
    <w:rsid w:val="005F5C39"/>
    <w:rsid w:val="005F7AFB"/>
    <w:rsid w:val="00600743"/>
    <w:rsid w:val="00603533"/>
    <w:rsid w:val="00604F8A"/>
    <w:rsid w:val="006067BE"/>
    <w:rsid w:val="00607CD5"/>
    <w:rsid w:val="006108CB"/>
    <w:rsid w:val="00612909"/>
    <w:rsid w:val="006155C0"/>
    <w:rsid w:val="006171AA"/>
    <w:rsid w:val="0062061B"/>
    <w:rsid w:val="006211D2"/>
    <w:rsid w:val="00624B95"/>
    <w:rsid w:val="006267B7"/>
    <w:rsid w:val="00626E96"/>
    <w:rsid w:val="006270E6"/>
    <w:rsid w:val="0063001C"/>
    <w:rsid w:val="00630364"/>
    <w:rsid w:val="00630844"/>
    <w:rsid w:val="00635690"/>
    <w:rsid w:val="0063717C"/>
    <w:rsid w:val="00637A18"/>
    <w:rsid w:val="00637AC0"/>
    <w:rsid w:val="00641455"/>
    <w:rsid w:val="006458E0"/>
    <w:rsid w:val="0065160D"/>
    <w:rsid w:val="00652531"/>
    <w:rsid w:val="00652A18"/>
    <w:rsid w:val="00652D7E"/>
    <w:rsid w:val="00653E52"/>
    <w:rsid w:val="00654588"/>
    <w:rsid w:val="0065508C"/>
    <w:rsid w:val="00661E63"/>
    <w:rsid w:val="006654A1"/>
    <w:rsid w:val="00672573"/>
    <w:rsid w:val="00673093"/>
    <w:rsid w:val="0068106A"/>
    <w:rsid w:val="0068187F"/>
    <w:rsid w:val="0068199B"/>
    <w:rsid w:val="00687FC5"/>
    <w:rsid w:val="00690F78"/>
    <w:rsid w:val="006924EE"/>
    <w:rsid w:val="00694EAC"/>
    <w:rsid w:val="006961D3"/>
    <w:rsid w:val="00696D82"/>
    <w:rsid w:val="006A1168"/>
    <w:rsid w:val="006A1383"/>
    <w:rsid w:val="006A5C35"/>
    <w:rsid w:val="006B101C"/>
    <w:rsid w:val="006B32D0"/>
    <w:rsid w:val="006B3398"/>
    <w:rsid w:val="006B474D"/>
    <w:rsid w:val="006B5E8B"/>
    <w:rsid w:val="006C0E2F"/>
    <w:rsid w:val="006C2554"/>
    <w:rsid w:val="006C2B0F"/>
    <w:rsid w:val="006C4E32"/>
    <w:rsid w:val="006C5B53"/>
    <w:rsid w:val="006D1050"/>
    <w:rsid w:val="006D4098"/>
    <w:rsid w:val="006E081F"/>
    <w:rsid w:val="006E16D1"/>
    <w:rsid w:val="006E2A1F"/>
    <w:rsid w:val="006E7F16"/>
    <w:rsid w:val="006E7F88"/>
    <w:rsid w:val="006F162C"/>
    <w:rsid w:val="006F1CBF"/>
    <w:rsid w:val="006F2543"/>
    <w:rsid w:val="006F3C20"/>
    <w:rsid w:val="006F7E52"/>
    <w:rsid w:val="007002B3"/>
    <w:rsid w:val="00702008"/>
    <w:rsid w:val="00704209"/>
    <w:rsid w:val="00704250"/>
    <w:rsid w:val="00705A36"/>
    <w:rsid w:val="00705F64"/>
    <w:rsid w:val="007106BA"/>
    <w:rsid w:val="00711EEA"/>
    <w:rsid w:val="0071275A"/>
    <w:rsid w:val="00712AEA"/>
    <w:rsid w:val="0071477E"/>
    <w:rsid w:val="00715906"/>
    <w:rsid w:val="00716045"/>
    <w:rsid w:val="00720156"/>
    <w:rsid w:val="007247FD"/>
    <w:rsid w:val="00732938"/>
    <w:rsid w:val="00737E11"/>
    <w:rsid w:val="007432EB"/>
    <w:rsid w:val="0074488A"/>
    <w:rsid w:val="0074535D"/>
    <w:rsid w:val="00745DC4"/>
    <w:rsid w:val="00746522"/>
    <w:rsid w:val="007472FC"/>
    <w:rsid w:val="00747719"/>
    <w:rsid w:val="007517A3"/>
    <w:rsid w:val="00753E34"/>
    <w:rsid w:val="0076224E"/>
    <w:rsid w:val="00762EC5"/>
    <w:rsid w:val="0076532C"/>
    <w:rsid w:val="00766287"/>
    <w:rsid w:val="00774008"/>
    <w:rsid w:val="007750E4"/>
    <w:rsid w:val="00775118"/>
    <w:rsid w:val="007808DF"/>
    <w:rsid w:val="00780BF6"/>
    <w:rsid w:val="00791700"/>
    <w:rsid w:val="007A1F4E"/>
    <w:rsid w:val="007A336E"/>
    <w:rsid w:val="007A462E"/>
    <w:rsid w:val="007B0977"/>
    <w:rsid w:val="007B2327"/>
    <w:rsid w:val="007C1ED9"/>
    <w:rsid w:val="007C2429"/>
    <w:rsid w:val="007C355F"/>
    <w:rsid w:val="007C4D62"/>
    <w:rsid w:val="007D031C"/>
    <w:rsid w:val="007D114F"/>
    <w:rsid w:val="007D21A7"/>
    <w:rsid w:val="007D50BB"/>
    <w:rsid w:val="007D65C5"/>
    <w:rsid w:val="007E1C8B"/>
    <w:rsid w:val="007E3253"/>
    <w:rsid w:val="007E66D0"/>
    <w:rsid w:val="007F02DB"/>
    <w:rsid w:val="007F3D8A"/>
    <w:rsid w:val="007F56D4"/>
    <w:rsid w:val="007F62AB"/>
    <w:rsid w:val="00801E93"/>
    <w:rsid w:val="0080233D"/>
    <w:rsid w:val="008040B6"/>
    <w:rsid w:val="00804C6C"/>
    <w:rsid w:val="008100B7"/>
    <w:rsid w:val="00812DC9"/>
    <w:rsid w:val="008206FB"/>
    <w:rsid w:val="00822B01"/>
    <w:rsid w:val="00823AC6"/>
    <w:rsid w:val="008245E3"/>
    <w:rsid w:val="00826570"/>
    <w:rsid w:val="00826B08"/>
    <w:rsid w:val="00831747"/>
    <w:rsid w:val="00835C18"/>
    <w:rsid w:val="008453AA"/>
    <w:rsid w:val="00847415"/>
    <w:rsid w:val="008506EC"/>
    <w:rsid w:val="00856AF8"/>
    <w:rsid w:val="0086038D"/>
    <w:rsid w:val="008611E4"/>
    <w:rsid w:val="00861E21"/>
    <w:rsid w:val="008626F8"/>
    <w:rsid w:val="00867D1F"/>
    <w:rsid w:val="008707BB"/>
    <w:rsid w:val="00870A5E"/>
    <w:rsid w:val="008735C9"/>
    <w:rsid w:val="00874D93"/>
    <w:rsid w:val="00880348"/>
    <w:rsid w:val="008810FB"/>
    <w:rsid w:val="008849B0"/>
    <w:rsid w:val="00885FBD"/>
    <w:rsid w:val="008863B8"/>
    <w:rsid w:val="0088657E"/>
    <w:rsid w:val="008870AE"/>
    <w:rsid w:val="00891DC2"/>
    <w:rsid w:val="00892683"/>
    <w:rsid w:val="00893361"/>
    <w:rsid w:val="008A05BB"/>
    <w:rsid w:val="008A317E"/>
    <w:rsid w:val="008A35A3"/>
    <w:rsid w:val="008A3C7E"/>
    <w:rsid w:val="008B0590"/>
    <w:rsid w:val="008B1CBD"/>
    <w:rsid w:val="008B1FA5"/>
    <w:rsid w:val="008B7441"/>
    <w:rsid w:val="008C0998"/>
    <w:rsid w:val="008C1F38"/>
    <w:rsid w:val="008C428A"/>
    <w:rsid w:val="008C6B44"/>
    <w:rsid w:val="008C7555"/>
    <w:rsid w:val="008D32A4"/>
    <w:rsid w:val="008D3574"/>
    <w:rsid w:val="008D3836"/>
    <w:rsid w:val="008D57EE"/>
    <w:rsid w:val="008D6BC8"/>
    <w:rsid w:val="008E3293"/>
    <w:rsid w:val="008E499D"/>
    <w:rsid w:val="008E6451"/>
    <w:rsid w:val="008F3E75"/>
    <w:rsid w:val="008F4306"/>
    <w:rsid w:val="008F43D5"/>
    <w:rsid w:val="008F6A6B"/>
    <w:rsid w:val="008F7DE4"/>
    <w:rsid w:val="00900348"/>
    <w:rsid w:val="00900428"/>
    <w:rsid w:val="009012FA"/>
    <w:rsid w:val="0090143F"/>
    <w:rsid w:val="0090474F"/>
    <w:rsid w:val="00904A91"/>
    <w:rsid w:val="00905B45"/>
    <w:rsid w:val="00920B59"/>
    <w:rsid w:val="00922C64"/>
    <w:rsid w:val="00923331"/>
    <w:rsid w:val="00923377"/>
    <w:rsid w:val="00925598"/>
    <w:rsid w:val="00926B54"/>
    <w:rsid w:val="00932BF0"/>
    <w:rsid w:val="00932D36"/>
    <w:rsid w:val="009508B3"/>
    <w:rsid w:val="009526D9"/>
    <w:rsid w:val="00954E85"/>
    <w:rsid w:val="00955182"/>
    <w:rsid w:val="00956DCB"/>
    <w:rsid w:val="009575CC"/>
    <w:rsid w:val="00957DCB"/>
    <w:rsid w:val="009604D1"/>
    <w:rsid w:val="0096245F"/>
    <w:rsid w:val="0096310A"/>
    <w:rsid w:val="009639EA"/>
    <w:rsid w:val="00967B3A"/>
    <w:rsid w:val="009736DF"/>
    <w:rsid w:val="009744AD"/>
    <w:rsid w:val="00980B27"/>
    <w:rsid w:val="00982329"/>
    <w:rsid w:val="00990231"/>
    <w:rsid w:val="0099087B"/>
    <w:rsid w:val="00990DAC"/>
    <w:rsid w:val="00993CCD"/>
    <w:rsid w:val="00994D50"/>
    <w:rsid w:val="0099508F"/>
    <w:rsid w:val="009A39CC"/>
    <w:rsid w:val="009A570F"/>
    <w:rsid w:val="009A5810"/>
    <w:rsid w:val="009A649F"/>
    <w:rsid w:val="009A7E8A"/>
    <w:rsid w:val="009B0930"/>
    <w:rsid w:val="009B3BF7"/>
    <w:rsid w:val="009B3D14"/>
    <w:rsid w:val="009B73DF"/>
    <w:rsid w:val="009D471B"/>
    <w:rsid w:val="009D4FF6"/>
    <w:rsid w:val="009D79D0"/>
    <w:rsid w:val="009E07A7"/>
    <w:rsid w:val="009E178C"/>
    <w:rsid w:val="009F52DE"/>
    <w:rsid w:val="009F6788"/>
    <w:rsid w:val="00A0415F"/>
    <w:rsid w:val="00A0732C"/>
    <w:rsid w:val="00A1086A"/>
    <w:rsid w:val="00A12722"/>
    <w:rsid w:val="00A13164"/>
    <w:rsid w:val="00A13E0E"/>
    <w:rsid w:val="00A15607"/>
    <w:rsid w:val="00A2109F"/>
    <w:rsid w:val="00A22A14"/>
    <w:rsid w:val="00A22E7E"/>
    <w:rsid w:val="00A2640D"/>
    <w:rsid w:val="00A3135D"/>
    <w:rsid w:val="00A3274F"/>
    <w:rsid w:val="00A354E8"/>
    <w:rsid w:val="00A40386"/>
    <w:rsid w:val="00A4053A"/>
    <w:rsid w:val="00A4069D"/>
    <w:rsid w:val="00A412E1"/>
    <w:rsid w:val="00A45FAC"/>
    <w:rsid w:val="00A57381"/>
    <w:rsid w:val="00A61BA7"/>
    <w:rsid w:val="00A638D3"/>
    <w:rsid w:val="00A6588A"/>
    <w:rsid w:val="00A66D19"/>
    <w:rsid w:val="00A66F56"/>
    <w:rsid w:val="00A671B7"/>
    <w:rsid w:val="00A71079"/>
    <w:rsid w:val="00A715A4"/>
    <w:rsid w:val="00A727C6"/>
    <w:rsid w:val="00A7327E"/>
    <w:rsid w:val="00A772F7"/>
    <w:rsid w:val="00A77674"/>
    <w:rsid w:val="00A77AFE"/>
    <w:rsid w:val="00A77C69"/>
    <w:rsid w:val="00A77DAE"/>
    <w:rsid w:val="00A80624"/>
    <w:rsid w:val="00A832BF"/>
    <w:rsid w:val="00A83764"/>
    <w:rsid w:val="00A8417C"/>
    <w:rsid w:val="00A851AD"/>
    <w:rsid w:val="00A85390"/>
    <w:rsid w:val="00A86D5B"/>
    <w:rsid w:val="00A87897"/>
    <w:rsid w:val="00AA19AE"/>
    <w:rsid w:val="00AA3462"/>
    <w:rsid w:val="00AB0984"/>
    <w:rsid w:val="00AB0F8A"/>
    <w:rsid w:val="00AB2ADB"/>
    <w:rsid w:val="00AB2D50"/>
    <w:rsid w:val="00AB5D97"/>
    <w:rsid w:val="00AB60DA"/>
    <w:rsid w:val="00AB6A3C"/>
    <w:rsid w:val="00AC0A8F"/>
    <w:rsid w:val="00AC58FA"/>
    <w:rsid w:val="00AD0B7D"/>
    <w:rsid w:val="00AD5651"/>
    <w:rsid w:val="00AE1354"/>
    <w:rsid w:val="00AE225E"/>
    <w:rsid w:val="00AE2FCB"/>
    <w:rsid w:val="00AE4E2E"/>
    <w:rsid w:val="00AF128F"/>
    <w:rsid w:val="00AF19B2"/>
    <w:rsid w:val="00AF2673"/>
    <w:rsid w:val="00AF35FB"/>
    <w:rsid w:val="00AF4130"/>
    <w:rsid w:val="00AF4974"/>
    <w:rsid w:val="00AF655F"/>
    <w:rsid w:val="00B00D04"/>
    <w:rsid w:val="00B045A2"/>
    <w:rsid w:val="00B05B75"/>
    <w:rsid w:val="00B135E8"/>
    <w:rsid w:val="00B17013"/>
    <w:rsid w:val="00B1721A"/>
    <w:rsid w:val="00B17C0F"/>
    <w:rsid w:val="00B255F9"/>
    <w:rsid w:val="00B2761B"/>
    <w:rsid w:val="00B355B5"/>
    <w:rsid w:val="00B42098"/>
    <w:rsid w:val="00B429B7"/>
    <w:rsid w:val="00B470EF"/>
    <w:rsid w:val="00B4750B"/>
    <w:rsid w:val="00B5015C"/>
    <w:rsid w:val="00B52157"/>
    <w:rsid w:val="00B547C9"/>
    <w:rsid w:val="00B551EC"/>
    <w:rsid w:val="00B55EA7"/>
    <w:rsid w:val="00B57EC1"/>
    <w:rsid w:val="00B64010"/>
    <w:rsid w:val="00B647E9"/>
    <w:rsid w:val="00B651DB"/>
    <w:rsid w:val="00B80BAF"/>
    <w:rsid w:val="00B83E55"/>
    <w:rsid w:val="00B83FAA"/>
    <w:rsid w:val="00B84704"/>
    <w:rsid w:val="00B871D0"/>
    <w:rsid w:val="00B90E39"/>
    <w:rsid w:val="00B943E5"/>
    <w:rsid w:val="00BA0922"/>
    <w:rsid w:val="00BA290D"/>
    <w:rsid w:val="00BA3E35"/>
    <w:rsid w:val="00BA6C39"/>
    <w:rsid w:val="00BB170B"/>
    <w:rsid w:val="00BB19D4"/>
    <w:rsid w:val="00BB1AE3"/>
    <w:rsid w:val="00BB22E5"/>
    <w:rsid w:val="00BB5502"/>
    <w:rsid w:val="00BB77E1"/>
    <w:rsid w:val="00BB7FA0"/>
    <w:rsid w:val="00BD18AA"/>
    <w:rsid w:val="00BD2515"/>
    <w:rsid w:val="00BD491E"/>
    <w:rsid w:val="00BE63F6"/>
    <w:rsid w:val="00BF56F7"/>
    <w:rsid w:val="00BF7D89"/>
    <w:rsid w:val="00C005F6"/>
    <w:rsid w:val="00C063CB"/>
    <w:rsid w:val="00C144F3"/>
    <w:rsid w:val="00C16171"/>
    <w:rsid w:val="00C1696A"/>
    <w:rsid w:val="00C21C1A"/>
    <w:rsid w:val="00C22698"/>
    <w:rsid w:val="00C243D7"/>
    <w:rsid w:val="00C267F4"/>
    <w:rsid w:val="00C26A73"/>
    <w:rsid w:val="00C33A5E"/>
    <w:rsid w:val="00C349BB"/>
    <w:rsid w:val="00C34C16"/>
    <w:rsid w:val="00C351AC"/>
    <w:rsid w:val="00C36869"/>
    <w:rsid w:val="00C372F4"/>
    <w:rsid w:val="00C43637"/>
    <w:rsid w:val="00C4519D"/>
    <w:rsid w:val="00C45DA4"/>
    <w:rsid w:val="00C501E5"/>
    <w:rsid w:val="00C50EB9"/>
    <w:rsid w:val="00C567EF"/>
    <w:rsid w:val="00C56934"/>
    <w:rsid w:val="00C57236"/>
    <w:rsid w:val="00C611A2"/>
    <w:rsid w:val="00C64122"/>
    <w:rsid w:val="00C73477"/>
    <w:rsid w:val="00C76916"/>
    <w:rsid w:val="00C7717F"/>
    <w:rsid w:val="00C81F34"/>
    <w:rsid w:val="00C83387"/>
    <w:rsid w:val="00C839FA"/>
    <w:rsid w:val="00C848E8"/>
    <w:rsid w:val="00C87544"/>
    <w:rsid w:val="00C904FB"/>
    <w:rsid w:val="00C90607"/>
    <w:rsid w:val="00C9168B"/>
    <w:rsid w:val="00CA0847"/>
    <w:rsid w:val="00CA4627"/>
    <w:rsid w:val="00CC1BBA"/>
    <w:rsid w:val="00CC48F6"/>
    <w:rsid w:val="00CC4D98"/>
    <w:rsid w:val="00CC608F"/>
    <w:rsid w:val="00CC66E2"/>
    <w:rsid w:val="00CD0C45"/>
    <w:rsid w:val="00CD354E"/>
    <w:rsid w:val="00CE0BF5"/>
    <w:rsid w:val="00CE1827"/>
    <w:rsid w:val="00CE4110"/>
    <w:rsid w:val="00CE72A8"/>
    <w:rsid w:val="00CF2235"/>
    <w:rsid w:val="00CF2A9F"/>
    <w:rsid w:val="00CF36A9"/>
    <w:rsid w:val="00CF5D95"/>
    <w:rsid w:val="00CF7384"/>
    <w:rsid w:val="00CF74A5"/>
    <w:rsid w:val="00CF7D10"/>
    <w:rsid w:val="00D03F47"/>
    <w:rsid w:val="00D05236"/>
    <w:rsid w:val="00D11620"/>
    <w:rsid w:val="00D15560"/>
    <w:rsid w:val="00D34675"/>
    <w:rsid w:val="00D36952"/>
    <w:rsid w:val="00D36D09"/>
    <w:rsid w:val="00D43DF7"/>
    <w:rsid w:val="00D441C3"/>
    <w:rsid w:val="00D44687"/>
    <w:rsid w:val="00D45A15"/>
    <w:rsid w:val="00D51F65"/>
    <w:rsid w:val="00D52969"/>
    <w:rsid w:val="00D52CA2"/>
    <w:rsid w:val="00D54E36"/>
    <w:rsid w:val="00D5682F"/>
    <w:rsid w:val="00D649B3"/>
    <w:rsid w:val="00D66C25"/>
    <w:rsid w:val="00D7427B"/>
    <w:rsid w:val="00D822EF"/>
    <w:rsid w:val="00D86863"/>
    <w:rsid w:val="00D86C54"/>
    <w:rsid w:val="00D8721A"/>
    <w:rsid w:val="00D91C10"/>
    <w:rsid w:val="00D92BD5"/>
    <w:rsid w:val="00D92F33"/>
    <w:rsid w:val="00D940B0"/>
    <w:rsid w:val="00D94375"/>
    <w:rsid w:val="00DA0BC0"/>
    <w:rsid w:val="00DA4A84"/>
    <w:rsid w:val="00DA781B"/>
    <w:rsid w:val="00DB23F0"/>
    <w:rsid w:val="00DB307F"/>
    <w:rsid w:val="00DB4143"/>
    <w:rsid w:val="00DB53C9"/>
    <w:rsid w:val="00DB6CE9"/>
    <w:rsid w:val="00DB75EC"/>
    <w:rsid w:val="00DC1225"/>
    <w:rsid w:val="00DC774A"/>
    <w:rsid w:val="00DD0C03"/>
    <w:rsid w:val="00DD0E2A"/>
    <w:rsid w:val="00DD2683"/>
    <w:rsid w:val="00DD4984"/>
    <w:rsid w:val="00DD768B"/>
    <w:rsid w:val="00DE0E76"/>
    <w:rsid w:val="00DE2B18"/>
    <w:rsid w:val="00DE3FC4"/>
    <w:rsid w:val="00DF49D5"/>
    <w:rsid w:val="00DF53D1"/>
    <w:rsid w:val="00DF5B6C"/>
    <w:rsid w:val="00E03AD2"/>
    <w:rsid w:val="00E0601B"/>
    <w:rsid w:val="00E06DE3"/>
    <w:rsid w:val="00E126C7"/>
    <w:rsid w:val="00E15927"/>
    <w:rsid w:val="00E20083"/>
    <w:rsid w:val="00E21280"/>
    <w:rsid w:val="00E21CCF"/>
    <w:rsid w:val="00E21EC0"/>
    <w:rsid w:val="00E22F36"/>
    <w:rsid w:val="00E2477D"/>
    <w:rsid w:val="00E261C7"/>
    <w:rsid w:val="00E30FB2"/>
    <w:rsid w:val="00E31097"/>
    <w:rsid w:val="00E317E5"/>
    <w:rsid w:val="00E3340B"/>
    <w:rsid w:val="00E434B6"/>
    <w:rsid w:val="00E5051F"/>
    <w:rsid w:val="00E51E58"/>
    <w:rsid w:val="00E5424F"/>
    <w:rsid w:val="00E543E1"/>
    <w:rsid w:val="00E62304"/>
    <w:rsid w:val="00E651AC"/>
    <w:rsid w:val="00E73C21"/>
    <w:rsid w:val="00E800A4"/>
    <w:rsid w:val="00E813F7"/>
    <w:rsid w:val="00E82857"/>
    <w:rsid w:val="00E834E5"/>
    <w:rsid w:val="00E90065"/>
    <w:rsid w:val="00E947D8"/>
    <w:rsid w:val="00EA0ABF"/>
    <w:rsid w:val="00EA12E7"/>
    <w:rsid w:val="00EA2779"/>
    <w:rsid w:val="00EA2E3A"/>
    <w:rsid w:val="00EA40BE"/>
    <w:rsid w:val="00EA53C2"/>
    <w:rsid w:val="00EA5859"/>
    <w:rsid w:val="00EA720D"/>
    <w:rsid w:val="00EB1CA1"/>
    <w:rsid w:val="00EB228F"/>
    <w:rsid w:val="00EB2D2F"/>
    <w:rsid w:val="00EB35D6"/>
    <w:rsid w:val="00EB55D3"/>
    <w:rsid w:val="00EB676E"/>
    <w:rsid w:val="00EB6A0D"/>
    <w:rsid w:val="00EB7293"/>
    <w:rsid w:val="00EB744D"/>
    <w:rsid w:val="00EB7F6D"/>
    <w:rsid w:val="00EC077E"/>
    <w:rsid w:val="00EC35FF"/>
    <w:rsid w:val="00EC54C7"/>
    <w:rsid w:val="00ED3BA6"/>
    <w:rsid w:val="00ED6264"/>
    <w:rsid w:val="00ED78C7"/>
    <w:rsid w:val="00EE45A0"/>
    <w:rsid w:val="00EE4FBD"/>
    <w:rsid w:val="00EE6C01"/>
    <w:rsid w:val="00EF063D"/>
    <w:rsid w:val="00EF09A8"/>
    <w:rsid w:val="00EF0B0F"/>
    <w:rsid w:val="00EF18DF"/>
    <w:rsid w:val="00EF293A"/>
    <w:rsid w:val="00F003D1"/>
    <w:rsid w:val="00F0528D"/>
    <w:rsid w:val="00F1027F"/>
    <w:rsid w:val="00F10727"/>
    <w:rsid w:val="00F13AD5"/>
    <w:rsid w:val="00F15B5B"/>
    <w:rsid w:val="00F1765F"/>
    <w:rsid w:val="00F20759"/>
    <w:rsid w:val="00F226DF"/>
    <w:rsid w:val="00F26B76"/>
    <w:rsid w:val="00F278F2"/>
    <w:rsid w:val="00F27CBB"/>
    <w:rsid w:val="00F304CD"/>
    <w:rsid w:val="00F30D0A"/>
    <w:rsid w:val="00F321E1"/>
    <w:rsid w:val="00F328E4"/>
    <w:rsid w:val="00F34758"/>
    <w:rsid w:val="00F35D76"/>
    <w:rsid w:val="00F360F1"/>
    <w:rsid w:val="00F3622E"/>
    <w:rsid w:val="00F36FFE"/>
    <w:rsid w:val="00F37C44"/>
    <w:rsid w:val="00F40A97"/>
    <w:rsid w:val="00F428AE"/>
    <w:rsid w:val="00F51C57"/>
    <w:rsid w:val="00F554D5"/>
    <w:rsid w:val="00F55DEB"/>
    <w:rsid w:val="00F634A4"/>
    <w:rsid w:val="00F65179"/>
    <w:rsid w:val="00F659E9"/>
    <w:rsid w:val="00F70BC5"/>
    <w:rsid w:val="00F71FAC"/>
    <w:rsid w:val="00F74655"/>
    <w:rsid w:val="00F747EA"/>
    <w:rsid w:val="00F775D5"/>
    <w:rsid w:val="00F77AD9"/>
    <w:rsid w:val="00F8047F"/>
    <w:rsid w:val="00F80798"/>
    <w:rsid w:val="00F87541"/>
    <w:rsid w:val="00F908A6"/>
    <w:rsid w:val="00F93AAB"/>
    <w:rsid w:val="00F943BF"/>
    <w:rsid w:val="00FA0726"/>
    <w:rsid w:val="00FA0A09"/>
    <w:rsid w:val="00FA281F"/>
    <w:rsid w:val="00FA7FC1"/>
    <w:rsid w:val="00FB1BF5"/>
    <w:rsid w:val="00FB203D"/>
    <w:rsid w:val="00FB3FF0"/>
    <w:rsid w:val="00FB661B"/>
    <w:rsid w:val="00FB76B3"/>
    <w:rsid w:val="00FC276E"/>
    <w:rsid w:val="00FC3376"/>
    <w:rsid w:val="00FC3A5B"/>
    <w:rsid w:val="00FC5B15"/>
    <w:rsid w:val="00FC667C"/>
    <w:rsid w:val="00FD13D6"/>
    <w:rsid w:val="00FD1CE4"/>
    <w:rsid w:val="00FD258D"/>
    <w:rsid w:val="00FD370C"/>
    <w:rsid w:val="00FD5B75"/>
    <w:rsid w:val="00FD7B3A"/>
    <w:rsid w:val="00FE47E7"/>
    <w:rsid w:val="00FE53C3"/>
    <w:rsid w:val="00FF25A1"/>
    <w:rsid w:val="00FF4AD9"/>
    <w:rsid w:val="00FF5D84"/>
    <w:rsid w:val="00FF6AE6"/>
    <w:rsid w:val="01C94A66"/>
    <w:rsid w:val="03315EF4"/>
    <w:rsid w:val="09D17F9B"/>
    <w:rsid w:val="12BB09E5"/>
    <w:rsid w:val="1DBE7BC5"/>
    <w:rsid w:val="251C5C1F"/>
    <w:rsid w:val="317F2DCF"/>
    <w:rsid w:val="31DB6A7E"/>
    <w:rsid w:val="35545C6F"/>
    <w:rsid w:val="3EBE23C1"/>
    <w:rsid w:val="40303B18"/>
    <w:rsid w:val="43E1584B"/>
    <w:rsid w:val="440A38FC"/>
    <w:rsid w:val="4A537166"/>
    <w:rsid w:val="55DA429A"/>
    <w:rsid w:val="5DB31CB2"/>
    <w:rsid w:val="625153FB"/>
    <w:rsid w:val="63090781"/>
    <w:rsid w:val="642C47AF"/>
    <w:rsid w:val="6D056C3E"/>
    <w:rsid w:val="78425BFE"/>
    <w:rsid w:val="7DAD103E"/>
  </w:rsids>
  <m:mathPr>
    <m:mathFont m:val="Cambria Math"/>
    <m:brkBin m:val="before"/>
    <m:brkBinSub m:val="--"/>
    <m:smallFrac m:val="0"/>
    <m:dispDef/>
    <m:lMargin m:val="0"/>
    <m:rMargin m:val="0"/>
    <m:defJc m:val="centerGroup"/>
    <m:wrapIndent m:val="1440"/>
    <m:intLim m:val="subSup"/>
    <m:naryLim m:val="undOvr"/>
  </m:mathPr>
  <w:themeFontLang w:val="sv-SE" w:eastAsia="zh-CN"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73066"/>
  <w15:docId w15:val="{92158E7C-DBA6-4461-A913-286EE66B8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ind w:left="72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2.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7F6D33A-6EAD-4FF9-9787-4293541389FF}">
  <ds:schemaRefs>
    <ds:schemaRef ds:uri="http://schemas.openxmlformats.org/officeDocument/2006/bibliography"/>
  </ds:schemaRefs>
</ds:datastoreItem>
</file>

<file path=customXml/itemProps4.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5.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6.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6219</Words>
  <Characters>35451</Characters>
  <Application>Microsoft Office Word</Application>
  <DocSecurity>4</DocSecurity>
  <Lines>295</Lines>
  <Paragraphs>83</Paragraphs>
  <ScaleCrop>false</ScaleCrop>
  <Company>Huawei Technologies Co., Ltd.</Company>
  <LinksUpToDate>false</LinksUpToDate>
  <CharactersWithSpaces>41587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Luca</cp:lastModifiedBy>
  <cp:revision>136</cp:revision>
  <dcterms:created xsi:type="dcterms:W3CDTF">2022-10-12T00:46:00Z</dcterms:created>
  <dcterms:modified xsi:type="dcterms:W3CDTF">2022-10-12T13:17:00Z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2052-11.8.2.11716</vt:lpwstr>
  </property>
  <property fmtid="{D5CDD505-2E9C-101B-9397-08002B2CF9AE}" pid="5" name="_2015_ms_pID_725343">
    <vt:lpwstr>(3)iIj59ZbnjPORcVr3rkNXgNFztW68KPbCOa6rOsWFi/JpdYfCIDLmYgSeUKHyLQZw7A2zIAdl
Z53GBdohPUsyI9aTNVs2elzg+txazkrcUjYMFyzTMvwySHWJ0HLfKIlLUu/voInPdAhoQK4A
S1b+ZYnzzShLhb8/xoh9n50ujR9Wc19NGMxBhp1dTlvawlcgoWEuFBcQRFo2Uq6Jadollkd0
LLJidV2jRzRzVy2k7x</vt:lpwstr>
  </property>
  <property fmtid="{D5CDD505-2E9C-101B-9397-08002B2CF9AE}" pid="6" name="_2015_ms_pID_7253431">
    <vt:lpwstr>0g3FKC2POkNtQeikneNdMQRUwFiHL3zMwu0dzg8/ZGPS9wZiqnP9Vs
csNmzv28hN8ssWNcWnYH7HitAD9e0nfqBRa1XJH/FtypERioDBSc0CPA8Xbr3bR3h7KCRH55
6K+XHllBhm5kU/vqutq1r4H8wAVvvVZLropAC2wEt4ONtP/AuhBGhvEVVEF0ZsSF+oPEeM0k
+bCUE6SniU9ZI6EOSOMCtBwHGzvMrTEtSC2F</vt:lpwstr>
  </property>
  <property fmtid="{D5CDD505-2E9C-101B-9397-08002B2CF9AE}" pid="7" name="_2015_ms_pID_7253432">
    <vt:lpwstr>8w==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1665491352</vt:lpwstr>
  </property>
  <property fmtid="{D5CDD505-2E9C-101B-9397-08002B2CF9AE}" pid="12" name="ICV">
    <vt:lpwstr>2586A339573346078216BD2A6FD91047</vt:lpwstr>
  </property>
</Properties>
</file>